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r>
        <w:t xml:space="preserve">Last modified: 2026-10-16 17:46:01 (PDT)</w:t>
      </w:r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write-to-clarify-your-thinking"/>
    <w:p>
      <w:pPr>
        <w:pStyle w:val="Heading2"/>
      </w:pPr>
      <w:r>
        <w:t xml:space="preserve">1 Write to clarify your thinking</w:t>
      </w:r>
    </w:p>
    <w:p>
      <w:pPr>
        <w:pStyle w:val="FirstParagraph"/>
      </w:pPr>
      <w:r>
        <w:t xml:space="preserve">Write down a question or an idea as soon as you have it,</w:t>
      </w:r>
      <w:r>
        <w:t xml:space="preserve"> </w:t>
      </w:r>
      <w:r>
        <w:t xml:space="preserve">before you search for an answer.</w:t>
      </w:r>
      <w:r>
        <w:t xml:space="preserve"> </w:t>
      </w:r>
      <w:r>
        <w:t xml:space="preserve">Writing it down helps you in these ways:</w:t>
      </w:r>
    </w:p>
    <w:p>
      <w:pPr>
        <w:pStyle w:val="Compact"/>
        <w:numPr>
          <w:ilvl w:val="0"/>
          <w:numId w:val="1001"/>
        </w:numPr>
      </w:pPr>
      <w:r>
        <w:t xml:space="preserve">You see what you need to know.</w:t>
      </w:r>
    </w:p>
    <w:p>
      <w:pPr>
        <w:pStyle w:val="Compact"/>
        <w:numPr>
          <w:ilvl w:val="0"/>
          <w:numId w:val="1001"/>
        </w:numPr>
      </w:pPr>
      <w:r>
        <w:t xml:space="preserve">You state the problem more precisely.</w:t>
      </w:r>
    </w:p>
    <w:p>
      <w:pPr>
        <w:pStyle w:val="Compact"/>
        <w:numPr>
          <w:ilvl w:val="0"/>
          <w:numId w:val="1001"/>
        </w:numPr>
      </w:pPr>
      <w:r>
        <w:t xml:space="preserve">You often answer the question yourself while writing it.</w:t>
      </w:r>
    </w:p>
    <w:p>
      <w:pPr>
        <w:pStyle w:val="FirstParagraph"/>
      </w:pPr>
      <w:r>
        <w:t xml:space="preserve">The computer scientist Leslie Lamport argues that a person</w:t>
      </w:r>
      <w:r>
        <w:t xml:space="preserve"> </w:t>
      </w:r>
      <w:r>
        <w:t xml:space="preserve">who thinks without writing only thinks that they are thinking</w:t>
      </w:r>
      <w:r>
        <w:t xml:space="preserve"> </w:t>
      </w:r>
      <w:r>
        <w:t xml:space="preserve">(Lamport 2019)</w:t>
      </w:r>
      <w:r>
        <w:t xml:space="preserve">.</w:t>
      </w:r>
    </w:p>
    <w:bookmarkEnd w:id="9"/>
    <w:bookmarkStart w:id="10" w:name="standard-paper-structure"/>
    <w:p>
      <w:pPr>
        <w:pStyle w:val="Heading2"/>
      </w:pPr>
      <w:r>
        <w:t xml:space="preserve">2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10"/>
    <w:bookmarkStart w:id="17" w:name="organizing-the-results-section"/>
    <w:p>
      <w:pPr>
        <w:pStyle w:val="Heading2"/>
      </w:pPr>
      <w:r>
        <w:t xml:space="preserve">3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1" w:name="single-outcome-studies"/>
    <w:p>
      <w:pPr>
        <w:pStyle w:val="Heading3"/>
      </w:pPr>
      <w:r>
        <w:t xml:space="preserve">3.1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3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3"/>
        </w:numPr>
      </w:pPr>
      <w:r>
        <w:t xml:space="preserve">Main analysis results</w:t>
      </w:r>
    </w:p>
    <w:p>
      <w:pPr>
        <w:pStyle w:val="Compact"/>
        <w:numPr>
          <w:ilvl w:val="0"/>
          <w:numId w:val="1003"/>
        </w:numPr>
      </w:pPr>
      <w:r>
        <w:t xml:space="preserve">Sensitivity analyses or subgroup analyses</w:t>
      </w:r>
    </w:p>
    <w:bookmarkEnd w:id="11"/>
    <w:bookmarkStart w:id="16" w:name="multiple-outcomes-analyzed-separately"/>
    <w:p>
      <w:pPr>
        <w:pStyle w:val="Heading3"/>
      </w:pPr>
      <w:r>
        <w:t xml:space="preserve">3.2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2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4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4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4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4"/>
        </w:numPr>
      </w:pPr>
      <w:r>
        <w:t xml:space="preserve">Navigate directly to outcomes of interest</w:t>
      </w:r>
    </w:p>
    <w:bookmarkEnd w:id="12"/>
    <w:bookmarkStart w:id="13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5"/>
        </w:numPr>
      </w:pPr>
      <w:r>
        <w:t xml:space="preserve">Descriptive statistics</w:t>
      </w:r>
    </w:p>
    <w:p>
      <w:pPr>
        <w:pStyle w:val="Compact"/>
        <w:numPr>
          <w:ilvl w:val="0"/>
          <w:numId w:val="1005"/>
        </w:numPr>
      </w:pPr>
      <w:r>
        <w:t xml:space="preserve">Main analysis results</w:t>
      </w:r>
    </w:p>
    <w:p>
      <w:pPr>
        <w:pStyle w:val="Compact"/>
        <w:numPr>
          <w:ilvl w:val="0"/>
          <w:numId w:val="1005"/>
        </w:numPr>
      </w:pPr>
      <w:r>
        <w:t xml:space="preserve">Sensitivity analyses</w:t>
      </w:r>
    </w:p>
    <w:p>
      <w:pPr>
        <w:pStyle w:val="Compact"/>
        <w:numPr>
          <w:ilvl w:val="0"/>
          <w:numId w:val="1005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3"/>
    <w:bookmarkStart w:id="14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4"/>
    <w:bookmarkStart w:id="15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5"/>
    <w:bookmarkEnd w:id="16"/>
    <w:bookmarkEnd w:id="17"/>
    <w:bookmarkStart w:id="23" w:name="figures-and-tables"/>
    <w:p>
      <w:pPr>
        <w:pStyle w:val="Heading2"/>
      </w:pPr>
      <w:r>
        <w:t xml:space="preserve">4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4.3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9" w:name="label-variables-in-plain-words"/>
    <w:p>
      <w:pPr>
        <w:pStyle w:val="Heading3"/>
      </w:pPr>
      <w:r>
        <w:t xml:space="preserve">4.1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6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6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6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6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6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8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8"/>
    <w:bookmarkEnd w:id="19"/>
    <w:bookmarkStart w:id="20" w:name="captions-are-captions-not-headings"/>
    <w:p>
      <w:pPr>
        <w:pStyle w:val="Heading3"/>
      </w:pPr>
      <w:r>
        <w:t xml:space="preserve">4.2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20"/>
    <w:bookmarkStart w:id="21" w:name="sec-submission-layout"/>
    <w:p>
      <w:pPr>
        <w:pStyle w:val="Heading3"/>
      </w:pPr>
      <w:r>
        <w:t xml:space="preserve">4.3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1"/>
    <w:bookmarkStart w:id="22" w:name="check-the-rendered-layout"/>
    <w:p>
      <w:pPr>
        <w:pStyle w:val="Heading3"/>
      </w:pPr>
      <w:r>
        <w:t xml:space="preserve">4.4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8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8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8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2"/>
    <w:bookmarkEnd w:id="23"/>
    <w:bookmarkStart w:id="24" w:name="subsection-headings"/>
    <w:p>
      <w:pPr>
        <w:pStyle w:val="Heading2"/>
      </w:pPr>
      <w:r>
        <w:t xml:space="preserve">5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4"/>
    <w:bookmarkStart w:id="26" w:name="avoid-forward-references"/>
    <w:p>
      <w:pPr>
        <w:pStyle w:val="Heading2"/>
      </w:pPr>
      <w:r>
        <w:t xml:space="preserve">6 Avoid forward references</w:t>
      </w:r>
    </w:p>
    <w:p>
      <w:pPr>
        <w:pStyle w:val="FirstParagraph"/>
      </w:pPr>
      <w:r>
        <w:t xml:space="preserve">A forward reference points the reader to content they have not reached yet.</w:t>
      </w:r>
      <w:r>
        <w:t xml:space="preserve"> </w:t>
      </w:r>
      <w:r>
        <w:t xml:space="preserve">Common forms are:</w:t>
      </w:r>
    </w:p>
    <w:p>
      <w:pPr>
        <w:pStyle w:val="Compact"/>
        <w:numPr>
          <w:ilvl w:val="0"/>
          <w:numId w:val="1009"/>
        </w:numPr>
      </w:pPr>
      <w:r>
        <w:t xml:space="preserve">“as discussed below”</w:t>
      </w:r>
    </w:p>
    <w:p>
      <w:pPr>
        <w:pStyle w:val="Compact"/>
        <w:numPr>
          <w:ilvl w:val="0"/>
          <w:numId w:val="1009"/>
        </w:numPr>
      </w:pPr>
      <w:r>
        <w:t xml:space="preserve">“see the next section”</w:t>
      </w:r>
    </w:p>
    <w:p>
      <w:pPr>
        <w:pStyle w:val="Compact"/>
        <w:numPr>
          <w:ilvl w:val="0"/>
          <w:numId w:val="1009"/>
        </w:numPr>
      </w:pPr>
      <w:r>
        <w:t xml:space="preserve">“we will return to this later”</w:t>
      </w:r>
    </w:p>
    <w:p>
      <w:pPr>
        <w:pStyle w:val="FirstParagraph"/>
      </w:pPr>
      <w:r>
        <w:t xml:space="preserve">The reader must hold an unresolved pointer</w:t>
      </w:r>
      <w:r>
        <w:t xml:space="preserve"> </w:t>
      </w:r>
      <w:r>
        <w:t xml:space="preserve">while reading the sentence that depends on it.</w:t>
      </w:r>
    </w:p>
    <w:p>
      <w:pPr>
        <w:pStyle w:val="BodyText"/>
      </w:pPr>
      <w:r>
        <w:t xml:space="preserve">Fix a forward reference by moving the content ahead of the pointer.</w:t>
      </w:r>
      <w:r>
        <w:t xml:space="preserve"> </w:t>
      </w:r>
      <w:r>
        <w:t xml:space="preserve">Then change</w:t>
      </w:r>
      <w:r>
        <w:t xml:space="preserve"> </w:t>
      </w:r>
      <w:r>
        <w:t xml:space="preserve">“below”</w:t>
      </w:r>
      <w:r>
        <w:t xml:space="preserve"> </w:t>
      </w:r>
      <w:r>
        <w:t xml:space="preserve">to</w:t>
      </w:r>
      <w:r>
        <w:t xml:space="preserve"> </w:t>
      </w:r>
      <w:r>
        <w:t xml:space="preserve">“above”</w:t>
      </w:r>
      <w:r>
        <w:t xml:space="preserve">, or delete the pointer.</w:t>
      </w:r>
    </w:p>
    <w:p>
      <w:pPr>
        <w:pStyle w:val="BodyText"/>
      </w:pPr>
      <w:r>
        <w:t xml:space="preserve">If moving the content would break the order of the argument,</w:t>
      </w:r>
      <w:r>
        <w:t xml:space="preserve"> </w:t>
      </w:r>
      <w:r>
        <w:t xml:space="preserve">keep the pointer, and make it a working link.</w:t>
      </w:r>
      <w:r>
        <w:t xml:space="preserve"> </w:t>
      </w:r>
      <w:r>
        <w:t xml:space="preserve">Say what the link points to and where it is,</w:t>
      </w:r>
      <w:r>
        <w:t xml:space="preserve"> </w:t>
      </w:r>
      <w:r>
        <w:t xml:space="preserve">as in</w:t>
      </w:r>
      <w:r>
        <w:t xml:space="preserve"> </w:t>
      </w:r>
      <w:r>
        <w:t xml:space="preserve">“Table 2 (later in this section)”</w:t>
      </w:r>
      <w:r>
        <w:t xml:space="preserve">, with</w:t>
      </w:r>
      <w:r>
        <w:t xml:space="preserve"> </w:t>
      </w:r>
      <w:r>
        <w:t xml:space="preserve">“Table 2”</w:t>
      </w:r>
      <w:r>
        <w:t xml:space="preserve"> </w:t>
      </w:r>
      <w:r>
        <w:t xml:space="preserve">linked to the table.</w:t>
      </w:r>
      <w:r>
        <w:t xml:space="preserve"> </w:t>
      </w:r>
      <w:r>
        <w:t xml:space="preserve">Do not delete the link and leave only the name.</w:t>
      </w:r>
      <w:r>
        <w:t xml:space="preserve"> </w:t>
      </w:r>
      <w:r>
        <w:t xml:space="preserve">The reader then loses both the warning and the jump.</w:t>
      </w:r>
    </w:p>
    <w:bookmarkStart w:id="25" w:name="exm-forward-reference"/>
    <w:p>
      <w:pPr>
        <w:pStyle w:val="BodyText"/>
      </w:pPr>
      <w:r>
        <w:rPr>
          <w:b/>
          <w:bCs/>
        </w:rPr>
        <w:t xml:space="preserve">Example 2 (Removing a forward reference)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adjusted estimates, discussed in the next section, differ from the crude estimates.</w:t>
      </w:r>
      <w:r>
        <w:t xml:space="preserve"> </w:t>
      </w:r>
      <w:r>
        <w:t xml:space="preserve">The adjustment, described below, uses age and sex.</w:t>
      </w:r>
    </w:p>
    <w:p>
      <w:pPr>
        <w:pStyle w:val="BlockText"/>
      </w:pPr>
      <w:r>
        <w:t xml:space="preserve">✅ The adjustment uses age and sex.</w:t>
      </w:r>
      <w:r>
        <w:t xml:space="preserve"> </w:t>
      </w:r>
      <w:r>
        <w:t xml:space="preserve">The adjusted estimates differ from the crude estimates.</w:t>
      </w:r>
    </w:p>
    <w:p>
      <w:pPr>
        <w:pStyle w:val="FirstParagraph"/>
      </w:pPr>
      <w:r>
        <w:t xml:space="preserve">In the ❌ version, both pointers send the reader to content that comes later,</w:t>
      </w:r>
      <w:r>
        <w:t xml:space="preserve"> </w:t>
      </w:r>
      <w:r>
        <w:t xml:space="preserve">so the reader sees</w:t>
      </w:r>
      <w:r>
        <w:t xml:space="preserve"> </w:t>
      </w:r>
      <w:r>
        <w:t xml:space="preserve">“adjusted”</w:t>
      </w:r>
      <w:r>
        <w:t xml:space="preserve"> </w:t>
      </w:r>
      <w:r>
        <w:t xml:space="preserve">before the paper says what was adjusted.</w:t>
      </w:r>
      <w:r>
        <w:t xml:space="preserve"> </w:t>
      </w:r>
      <w:r>
        <w:t xml:space="preserve">In the ✅ version, the sentence that defines the adjustment comes first,</w:t>
      </w:r>
      <w:r>
        <w:t xml:space="preserve"> </w:t>
      </w:r>
      <w:r>
        <w:t xml:space="preserve">so neither pointer is needed.</w:t>
      </w:r>
    </w:p>
    <w:bookmarkEnd w:id="25"/>
    <w:p>
      <w:pPr>
        <w:pStyle w:val="BodyText"/>
      </w:pPr>
      <w:r>
        <w:t xml:space="preserve">Two cases are not forward references to fix:</w:t>
      </w:r>
    </w:p>
    <w:p>
      <w:pPr>
        <w:pStyle w:val="Compact"/>
        <w:numPr>
          <w:ilvl w:val="0"/>
          <w:numId w:val="1010"/>
        </w:numPr>
      </w:pPr>
      <w:r>
        <w:t xml:space="preserve">An overview near the start that previews the structure,</w:t>
      </w:r>
      <w:r>
        <w:t xml:space="preserve"> </w:t>
      </w:r>
      <w:r>
        <w:t xml:space="preserve">such as</w:t>
      </w:r>
      <w:r>
        <w:t xml:space="preserve"> </w:t>
      </w:r>
      <w:r>
        <w:t xml:space="preserve">“Section 2 describes the data, and Section 3 gives the results”</w:t>
      </w:r>
      <w:r>
        <w:t xml:space="preserve">.</w:t>
      </w:r>
      <w:r>
        <w:t xml:space="preserve"> </w:t>
      </w:r>
      <w:r>
        <w:t xml:space="preserve">The reader is not meant to resolve the preview immediately.</w:t>
      </w:r>
    </w:p>
    <w:p>
      <w:pPr>
        <w:pStyle w:val="Compact"/>
        <w:numPr>
          <w:ilvl w:val="0"/>
          <w:numId w:val="1010"/>
        </w:numPr>
      </w:pPr>
      <w:r>
        <w:t xml:space="preserve">A sentence that names a figure or table placed beside it, such as</w:t>
      </w:r>
      <w:r>
        <w:t xml:space="preserve"> </w:t>
      </w:r>
      <w:r>
        <w:t xml:space="preserve">“Table 2 shows the estimates”</w:t>
      </w:r>
      <w:r>
        <w:t xml:space="preserve">.</w:t>
      </w:r>
      <w:r>
        <w:t xml:space="preserve"> </w:t>
      </w:r>
      <w:r>
        <w:t xml:space="preserve">The reader meets the table at once.</w:t>
      </w:r>
    </w:p>
    <w:p>
      <w:pPr>
        <w:pStyle w:val="FirstParagraph"/>
      </w:pPr>
      <w:r>
        <w:t xml:space="preserve">A word such as</w:t>
      </w:r>
      <w:r>
        <w:t xml:space="preserve"> </w:t>
      </w:r>
      <w:r>
        <w:t xml:space="preserve">“below”</w:t>
      </w:r>
      <w:r>
        <w:t xml:space="preserve"> </w:t>
      </w:r>
      <w:r>
        <w:t xml:space="preserve">in an ordinary comparison, as in</w:t>
      </w:r>
      <w:r>
        <w:t xml:space="preserve"> </w:t>
      </w:r>
      <w:r>
        <w:t xml:space="preserve">“values below the detection limit”</w:t>
      </w:r>
      <w:r>
        <w:t xml:space="preserve">,</w:t>
      </w:r>
      <w:r>
        <w:t xml:space="preserve"> </w:t>
      </w:r>
      <w:r>
        <w:t xml:space="preserve">is not a pointer at all.</w:t>
      </w:r>
    </w:p>
    <w:p>
      <w:pPr>
        <w:pStyle w:val="BodyText"/>
      </w:pPr>
      <w:r>
        <w:t xml:space="preserve">When you insert or move a section, check the references that name a position,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two sections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previous section”</w:t>
      </w:r>
      <w:r>
        <w:t xml:space="preserve">.</w:t>
      </w:r>
      <w:r>
        <w:t xml:space="preserve"> </w:t>
      </w:r>
      <w:r>
        <w:t xml:space="preserve">Name the target instead, as in</w:t>
      </w:r>
      <w:r>
        <w:t xml:space="preserve"> </w:t>
      </w:r>
      <w:r>
        <w:t xml:space="preserve">“the sections on mortality and morbidity”</w:t>
      </w:r>
      <w:r>
        <w:t xml:space="preserve">,</w:t>
      </w:r>
      <w:r>
        <w:t xml:space="preserve"> </w:t>
      </w:r>
      <w:r>
        <w:t xml:space="preserve">so that a later insertion does not make the position wrong.</w:t>
      </w:r>
    </w:p>
    <w:bookmarkEnd w:id="26"/>
    <w:bookmarkStart w:id="30" w:name="links-to-videos-and-other-media"/>
    <w:p>
      <w:pPr>
        <w:pStyle w:val="Heading2"/>
      </w:pPr>
      <w:r>
        <w:t xml:space="preserve">7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11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11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11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11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Start w:id="29" w:name="refs"/>
    <w:bookmarkStart w:id="28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27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28"/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7" Target="https://mentors.fm/2019/08/13/think-and-write-with-leslie-lampor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https://mentors.fm/2019/08/13/think-and-write-with-leslie-lampor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2026-10-17T00:50:42Z</dcterms:created>
  <dcterms:modified xsi:type="dcterms:W3CDTF">2026-10-17T00:50:42Z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17:46:01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