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02:10:10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an SVM decision score or a vector of class probabilities.</w:t>
      </w:r>
      <w:r>
        <w:t xml:space="preserve"> </w:t>
      </w:r>
      <w:r>
        <w:t xml:space="preserve">In the lab’s macros,</w:t>
      </w:r>
      <w:r>
        <w:t xml:space="preserve"> </w:t>
      </w:r>
      <w:r>
        <w:rPr>
          <w:rStyle w:val="VerbatimChar"/>
        </w:rPr>
        <w:t xml:space="preserve">\hy</w:t>
      </w:r>
      <w:r>
        <w:t xml:space="preserve"> </w:t>
      </w:r>
      <w:r>
        <w:t xml:space="preserve">prints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2026-10-14T09:14:18Z</dcterms:created>
  <dcterms:modified xsi:type="dcterms:W3CDTF">2026-10-14T09:14:18Z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