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2026-10-29 17:04:15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7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4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21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a</w:t>
      </w:r>
      <w:r>
        <w:t xml:space="preserve"> </w:t>
      </w:r>
      <w:hyperlink r:id="rId2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at one covariate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instead.</w:t>
      </w:r>
    </w:p>
    <w:bookmarkEnd w:id="21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2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4"/>
    <w:bookmarkStart w:id="26" w:name="Xefe13e73e12914023d8f2c0f69ba86b25ec3c0b"/>
    <w:p>
      <w:pPr>
        <w:pStyle w:val="Heading3"/>
      </w:pPr>
      <w:r>
        <w:t xml:space="preserve">1.7 Write each sentence in words or in math, not both</w:t>
      </w:r>
    </w:p>
    <w:p>
      <w:pPr>
        <w:pStyle w:val="FirstParagraph"/>
      </w:pPr>
      <w:r>
        <w:t xml:space="preserve">A sentence is either entirely in words or entirely in math.</w:t>
      </w:r>
      <w:r>
        <w:t xml:space="preserve"> </w:t>
      </w:r>
      <w:r>
        <w:t xml:space="preserve">A single inline expression inside a word sentence is fine,</w:t>
      </w:r>
      <w:r>
        <w:t xml:space="preserve"> </w:t>
      </w:r>
      <w:r>
        <w:t xml:space="preserve">as in</w:t>
      </w:r>
      <w:r>
        <w:t xml:space="preserve"> </w:t>
      </w:r>
      <w:r>
        <w:t xml:space="preserve">“the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equals the conditional mean”</w:t>
      </w:r>
      <w:r>
        <w:t xml:space="preserve">.</w:t>
      </w:r>
      <w:r>
        <w:t xml:space="preserve"> </w:t>
      </w:r>
      <w:r>
        <w:t xml:space="preserve"> </w:t>
      </w:r>
      <w:r>
        <w:t xml:space="preserve">A sentence that states one condition in words and a second condition as a relation between expressions is a hybrid.</w:t>
      </w:r>
      <w:r>
        <w:t xml:space="preserve"> </w:t>
      </w:r>
      <w:r>
        <w:t xml:space="preserve">Split it into two complete sentences:</w:t>
      </w:r>
      <w:r>
        <w:t xml:space="preserve"> </w:t>
      </w:r>
      <w:r>
        <w:t xml:space="preserve">the first states the result in words, and the second states it as a displayed formula.</w:t>
      </w:r>
    </w:p>
    <w:bookmarkStart w:id="25" w:name="exm-no-hybrid-sentences"/>
    <w:p>
      <w:pPr>
        <w:pStyle w:val="BodyText"/>
      </w:pPr>
      <w:r>
        <w:rPr>
          <w:b/>
          <w:bCs/>
        </w:rPr>
        <w:t xml:space="preserve">Example 4 (Splitting a hybrid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lockText"/>
      </w:pPr>
      <w:r>
        <w:t xml:space="preserve">✅ The reducible risk is zero if and only if the prediction function differs from the conditional mean with probability 0.</w:t>
      </w:r>
      <w:r>
        <w:t xml:space="preserve"> 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∣</m:t>
                              </m:r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rPr>
                  <m:sty m:val="p"/>
                </m:rPr>
                <m:t>⇔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≠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 ❌ version puts the first condition in words and the second in math.</w:t>
      </w:r>
      <w:r>
        <w:t xml:space="preserve"> </w:t>
      </w:r>
      <w:r>
        <w:t xml:space="preserve">The ✅ version says the result once in words and once in math.</w:t>
      </w:r>
    </w:p>
    <w:bookmarkEnd w:id="25"/>
    <w:bookmarkEnd w:id="26"/>
    <w:bookmarkEnd w:id="27"/>
    <w:bookmarkStart w:id="29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8" w:name="exm-introduce-theorem"/>
    <w:p>
      <w:pPr>
        <w:pStyle w:val="BodyText"/>
      </w:pPr>
      <w:r>
        <w:rPr>
          <w:b/>
          <w:bCs/>
        </w:rPr>
        <w:t xml:space="preserve">Example 5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  <w:r>
        <w:t xml:space="preserve"> 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8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9"/>
    <w:bookmarkStart w:id="32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30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p>
      <w:pPr>
        <w:pStyle w:val="BodyText"/>
      </w:pPr>
      <w:r>
        <w:t xml:space="preserve">A key equation always goes in a display, never inline.</w:t>
      </w:r>
      <w:r>
        <w:t xml:space="preserve"> </w:t>
      </w:r>
      <w:r>
        <w:t xml:space="preserve">A key equation is any of these:</w:t>
      </w:r>
    </w:p>
    <w:p>
      <w:pPr>
        <w:pStyle w:val="Compact"/>
        <w:numPr>
          <w:ilvl w:val="0"/>
          <w:numId w:val="1001"/>
        </w:numPr>
      </w:pPr>
      <w:r>
        <w:t xml:space="preserve">the conclusion of a theorem, lemma, or proposition;</w:t>
      </w:r>
    </w:p>
    <w:p>
      <w:pPr>
        <w:pStyle w:val="Compact"/>
        <w:numPr>
          <w:ilvl w:val="0"/>
          <w:numId w:val="1001"/>
        </w:numPr>
      </w:pPr>
      <w:r>
        <w:t xml:space="preserve">an equation that a proof builds toward;</w:t>
      </w:r>
    </w:p>
    <w:p>
      <w:pPr>
        <w:pStyle w:val="Compact"/>
        <w:numPr>
          <w:ilvl w:val="0"/>
          <w:numId w:val="1001"/>
        </w:numPr>
      </w:pPr>
      <w:r>
        <w:t xml:space="preserve">an equation that a later step refers to.</w:t>
      </w:r>
    </w:p>
    <w:p>
      <w:pPr>
        <w:pStyle w:val="FirstParagraph"/>
      </w:pPr>
      <w:r>
        <w:t xml:space="preserve">In a proof, a sentence such as</w:t>
      </w:r>
      <w:r>
        <w:t xml:space="preserve"> </w:t>
      </w:r>
      <w:r>
        <w:t xml:space="preserve">“so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“this gives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hides the result in the middle of a line.</w:t>
      </w:r>
      <w:r>
        <w:t xml:space="preserve"> </w:t>
      </w:r>
      <w:r>
        <w:t xml:space="preserve">Put the equation in a display and let the sentence introduce it.</w:t>
      </w:r>
      <w:r>
        <w:t xml:space="preserve"> </w:t>
      </w:r>
      <w:r>
        <w:t xml:space="preserve">Use inline math for symbols and short expressions inside a sentence,</w:t>
      </w:r>
      <w:r>
        <w:t xml:space="preserve"> </w:t>
      </w:r>
      <w:r>
        <w:t xml:space="preserve">not for the equation the reader is meant to remember.</w:t>
      </w:r>
    </w:p>
    <w:bookmarkStart w:id="31" w:name="exm-key-equation-displayed"/>
    <w:p>
      <w:pPr>
        <w:pStyle w:val="BodyText"/>
      </w:pPr>
      <w:r>
        <w:rPr>
          <w:b/>
          <w:bCs/>
        </w:rPr>
        <w:t xml:space="preserve">Example 6 (Displaying the normal equations)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Setting the gradient to zero yields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t>D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lockText"/>
      </w:pPr>
      <w:r>
        <w:t xml:space="preserve">✅ Setting the gradient to zero yields the normal equations:</w:t>
      </w:r>
    </w:p>
    <w:p>
      <w:pPr>
        <w:pStyle w:val="Block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In the ❌ version the result sits in the middle of a line, where the reader can miss it.</w:t>
      </w:r>
      <w:r>
        <w:t xml:space="preserve"> </w:t>
      </w:r>
      <w:r>
        <w:t xml:space="preserve">The ✅ version gives it a line of its own.</w:t>
      </w:r>
    </w:p>
    <w:bookmarkEnd w:id="31"/>
    <w:bookmarkEnd w:id="32"/>
    <w:bookmarkStart w:id="33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33"/>
    <w:bookmarkStart w:id="34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34"/>
    <w:bookmarkStart w:id="35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5"/>
    <w:bookmarkStart w:id="36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6"/>
    <w:bookmarkStart w:id="40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7" w:name="exm-cite-results"/>
    <w:p>
      <w:pPr>
        <w:pStyle w:val="BodyText"/>
      </w:pPr>
      <w:r>
        <w:rPr>
          <w:b/>
          <w:bCs/>
        </w:rPr>
        <w:t xml:space="preserve">Example 7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7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8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9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40"/>
    <w:bookmarkStart w:id="42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41" w:name="exm-never-inline"/>
    <w:p>
      <w:pPr>
        <w:pStyle w:val="BodyText"/>
      </w:pPr>
      <w:r>
        <w:rPr>
          <w:b/>
          <w:bCs/>
        </w:rPr>
        <w:t xml:space="preserve">Example 8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residual and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41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42"/>
    <w:bookmarkStart w:id="48" w:name="Xd2b1f08161d44443d3d9c5e89d9ddf68e118cc1"/>
    <w:p>
      <w:pPr>
        <w:pStyle w:val="Heading2"/>
      </w:pPr>
      <w:r>
        <w:t xml:space="preserve">10 Use no symbol that the statement does not need</w:t>
      </w:r>
    </w:p>
    <w:p>
      <w:pPr>
        <w:pStyle w:val="FirstParagraph"/>
      </w:pPr>
      <w:r>
        <w:t xml:space="preserve">Halmos advises</w:t>
      </w:r>
      <w:r>
        <w:t xml:space="preserve"> </w:t>
      </w:r>
      <w:r>
        <w:t xml:space="preserve">“avoid the use of irrelevant symbols”</w:t>
      </w:r>
      <w:r>
        <w:t xml:space="preserve"> </w:t>
      </w:r>
      <w:r>
        <w:t xml:space="preserve">and states the rule in its showy form as</w:t>
      </w:r>
      <w:r>
        <w:t xml:space="preserve"> </w:t>
      </w:r>
      <w:r>
        <w:t xml:space="preserve">“use no letter only once”</w:t>
      </w:r>
      <w:r>
        <w:t xml:space="preserve"> </w:t>
      </w:r>
      <w:r>
        <w:t xml:space="preserve">(Halmos 1970, sec. 15)</w:t>
      </w:r>
      <w:r>
        <w:t xml:space="preserve">.</w:t>
      </w:r>
      <w:r>
        <w:t xml:space="preserve"> </w:t>
      </w:r>
      <w:r>
        <w:t xml:space="preserve">A symbol that appears once, in the sentence that introduces it,</w:t>
      </w:r>
      <w:r>
        <w:t xml:space="preserve"> </w:t>
      </w:r>
      <w:r>
        <w:t xml:space="preserve">adds a name for the reader to hold and nothing to use it for.</w:t>
      </w:r>
      <w:r>
        <w:t xml:space="preserve"> </w:t>
      </w:r>
      <w:r>
        <w:t xml:space="preserve">Delete the symbol, or use it in the statement that needs it.</w:t>
      </w:r>
    </w:p>
    <w:bookmarkStart w:id="44" w:name="exm-superfluous-symbol"/>
    <w:p>
      <w:pPr>
        <w:pStyle w:val="BodyText"/>
      </w:pPr>
      <w:r>
        <w:rPr>
          <w:b/>
          <w:bCs/>
        </w:rPr>
        <w:t xml:space="preserve">Example 9 (Deleting a symbol that is named and never used)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Every continuous real-valued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on a compact space is bounded.</w:t>
      </w:r>
    </w:p>
    <w:p>
      <w:pPr>
        <w:pStyle w:val="BlockText"/>
      </w:pPr>
      <w:r>
        <w:t xml:space="preserve">✅ Every continuous real-valued function on a compact space is bounded.</w:t>
      </w:r>
    </w:p>
    <w:p>
      <w:pPr>
        <w:pStyle w:val="FirstParagraph"/>
      </w:pPr>
      <w:r>
        <w:t xml:space="preserve">Nothing in the sentence refers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again,</w:t>
      </w:r>
      <w:r>
        <w:t xml:space="preserve"> </w:t>
      </w:r>
      <w:r>
        <w:t xml:space="preserve">so the symbol contributes nothing to the statement.</w:t>
      </w:r>
      <w:r>
        <w:t xml:space="preserve"> </w:t>
      </w:r>
      <w:r>
        <w:t xml:space="preserve">Halmos gives this sentence as his example</w:t>
      </w:r>
      <w:r>
        <w:t xml:space="preserve"> </w:t>
      </w:r>
      <w:r>
        <w:t xml:space="preserve">(Halmos 1970, sec. 15)</w:t>
      </w:r>
      <w:r>
        <w:t xml:space="preserve">.</w:t>
      </w:r>
    </w:p>
    <w:bookmarkEnd w:id="44"/>
    <w:p>
      <w:pPr>
        <w:pStyle w:val="BodyText"/>
      </w:pPr>
      <w:r>
        <w:t xml:space="preserve">When you apply a displayed relation to a second object, name the relation or restate it, rather than citing its tag.</w:t>
      </w:r>
      <w:r>
        <w:t xml:space="preserve"> </w:t>
      </w:r>
      <w:r>
        <w:t xml:space="preserve">Halmos calls</w:t>
      </w:r>
      <w:r>
        <w:t xml:space="preserve"> </w:t>
      </w:r>
      <w:r>
        <w:t xml:space="preserve">“</w:t>
      </w:r>
      <m:oMath>
        <m:r>
          <m:t>g</m:t>
        </m:r>
      </m:oMath>
      <w:r>
        <w:t xml:space="preserve"> </w:t>
      </w:r>
      <w:r>
        <w:t xml:space="preserve">also satisfies (</w:t>
      </w:r>
      <w:r>
        <w:rPr>
          <w:i/>
          <w:iCs/>
        </w:rPr>
        <w:t xml:space="preserve">)” ”logical and alphabetical nonsense”</w:t>
      </w:r>
      <w:r>
        <w:rPr>
          <w:i/>
          <w:iCs/>
        </w:rPr>
        <w:t xml:space="preserve"> </w:t>
      </w:r>
      <w:r>
        <w:rPr>
          <w:i/>
          <w:iCs/>
        </w:rPr>
        <w:t xml:space="preserve">and advises ”(</w:t>
      </w:r>
      <w:r>
        <w:t xml:space="preserve">) remains satisfied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replaced by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or, better, giving the relation a name</w:t>
      </w:r>
      <w:r>
        <w:t xml:space="preserve"> </w:t>
      </w:r>
      <w:r>
        <w:t xml:space="preserve">(Halmos 1970, sec. 15)</w:t>
      </w:r>
      <w:r>
        <w:t xml:space="preserve">.</w:t>
      </w:r>
      <w:r>
        <w:t xml:space="preserve"> </w:t>
      </w:r>
      <w:r>
        <w:t xml:space="preserve">A named relation also lets the reader find it without hunting for a tag.</w:t>
      </w:r>
    </w:p>
    <w:bookmarkStart w:id="47" w:name="exm-name-the-relation"/>
    <w:p>
      <w:pPr>
        <w:pStyle w:val="BodyText"/>
      </w:pPr>
      <w:r>
        <w:rPr>
          <w:b/>
          <w:bCs/>
        </w:rPr>
        <w:t xml:space="preserve">Example 10 (Naming the relation instead of tagging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</w:t>
      </w:r>
      <w:r>
        <w:t xml:space="preserve"> </w:t>
      </w:r>
      <w:hyperlink r:id="rId45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 Equation 3, which says that the estimator’s expected value equals the parameter.</w:t>
      </w:r>
      <w:r>
        <w:t xml:space="preserve"> </w:t>
      </w:r>
      <w:r>
        <w:t xml:space="preserve">The sample</w:t>
      </w:r>
      <w:r>
        <w:t xml:space="preserve"> </w:t>
      </w:r>
      <w:hyperlink r:id="rId4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also satisfies Equation 3.</w:t>
      </w:r>
    </w:p>
    <w:p>
      <w:pPr>
        <w:pStyle w:val="BlockText"/>
      </w:pPr>
      <w:r>
        <w:t xml:space="preserve">✅ The sample mean is an unbiased estimator of the</w:t>
      </w:r>
      <w:r>
        <w:t xml:space="preserve"> </w:t>
      </w:r>
      <w:hyperlink r:id="rId2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mean.</w:t>
      </w:r>
      <w:r>
        <w:t xml:space="preserve"> </w:t>
      </w:r>
      <w:r>
        <w:t xml:space="preserve">The sample variance is an unbiased estimator of the population variance.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“also satisfies Equation 3”</w:t>
      </w:r>
      <w:r>
        <w:t xml:space="preserve"> </w:t>
      </w:r>
      <w:r>
        <w:t xml:space="preserve">is a statement about a different parameter,</w:t>
      </w:r>
      <w:r>
        <w:t xml:space="preserve"> </w:t>
      </w:r>
      <w:r>
        <w:t xml:space="preserve">and the equation says nothing about which parameter.</w:t>
      </w:r>
      <w:r>
        <w:t xml:space="preserve"> </w:t>
      </w:r>
      <w:r>
        <w:t xml:space="preserve">The ✅ version names the property,</w:t>
      </w:r>
      <w:r>
        <w:t xml:space="preserve"> </w:t>
      </w:r>
      <w:r>
        <w:t xml:space="preserve">“unbiased”</w:t>
      </w:r>
      <w:r>
        <w:t xml:space="preserve">,</w:t>
      </w:r>
      <w:r>
        <w:t xml:space="preserve"> </w:t>
      </w:r>
      <w:r>
        <w:t xml:space="preserve">and states each parameter.</w:t>
      </w:r>
    </w:p>
    <w:bookmarkEnd w:id="47"/>
    <w:p>
      <w:pPr>
        <w:pStyle w:val="BodyText"/>
      </w:pPr>
      <w:r>
        <w:t xml:space="preserve">Halmos also says this rule</w:t>
      </w:r>
      <w:r>
        <w:t xml:space="preserve"> </w:t>
      </w:r>
      <w:r>
        <w:t xml:space="preserve">“is sometimes better to break than to obey”</w:t>
      </w:r>
      <w:r>
        <w:t xml:space="preserve">:</w:t>
      </w:r>
      <w:r>
        <w:t xml:space="preserve"> </w:t>
      </w:r>
      <w:r>
        <w:t xml:space="preserve">a symbol that you introduce so that a later sentence in the same paragraph can use it is not superfluous.</w:t>
      </w:r>
      <w:r>
        <w:t xml:space="preserve"> </w:t>
      </w:r>
      <w:r>
        <w:t xml:space="preserve">No check can tell a symbol that a later sentence uses from one that it never uses,</w:t>
      </w:r>
      <w:r>
        <w:t xml:space="preserve"> </w:t>
      </w:r>
      <w:r>
        <w:t xml:space="preserve">because</w:t>
      </w:r>
      <w:r>
        <w:t xml:space="preserve"> </w:t>
      </w:r>
      <w:r>
        <w:t xml:space="preserve">“later”</w:t>
      </w:r>
      <w:r>
        <w:t xml:space="preserve"> </w:t>
      </w:r>
      <w:r>
        <w:t xml:space="preserve">can span pages, so this stays a writing rule that review enforces.</w:t>
      </w:r>
    </w:p>
    <w:bookmarkEnd w:id="48"/>
    <w:bookmarkStart w:id="52" w:name="Xd4c420c794a4d3e47a75832ce6d850be7dcc245"/>
    <w:p>
      <w:pPr>
        <w:pStyle w:val="Heading2"/>
      </w:pPr>
      <w:r>
        <w:t xml:space="preserve">11 Repeat the wording of parallel results, then point out the difference</w:t>
      </w:r>
    </w:p>
    <w:p>
      <w:pPr>
        <w:pStyle w:val="FirstParagraph"/>
      </w:pPr>
      <w:r>
        <w:t xml:space="preserve">When a later result treats a parallel or more general case,</w:t>
      </w:r>
      <w:r>
        <w:t xml:space="preserve"> </w:t>
      </w:r>
      <w:r>
        <w:t xml:space="preserve">Halmos advises that</w:t>
      </w:r>
      <w:r>
        <w:t xml:space="preserve"> </w:t>
      </w:r>
      <w:r>
        <w:t xml:space="preserve">“it is a big help to the reader</w:t>
      </w:r>
      <w:r>
        <w:t xml:space="preserve"> </w:t>
      </w:r>
      <w:r>
        <w:t xml:space="preserve">if you use the same words in the same order for as long as possible,</w:t>
      </w:r>
      <w:r>
        <w:t xml:space="preserve"> </w:t>
      </w:r>
      <w:r>
        <w:t xml:space="preserve">and then, with a proper roll of drums, emphasize the difference”</w:t>
      </w:r>
      <w:r>
        <w:t xml:space="preserve"> </w:t>
      </w:r>
      <w:r>
        <w:t xml:space="preserve">(Halmos 1970, sec. 11)</w:t>
      </w:r>
      <w:r>
        <w:t xml:space="preserve">.</w:t>
      </w:r>
      <w:r>
        <w:t xml:space="preserve"> </w:t>
      </w:r>
      <w:r>
        <w:t xml:space="preserve">He adds that listing the shared conditions and dropping one is not enough;</w:t>
      </w:r>
      <w:r>
        <w:t xml:space="preserve"> </w:t>
      </w:r>
      <w:r>
        <w:t xml:space="preserve">say which condition changed</w:t>
      </w:r>
      <w:r>
        <w:t xml:space="preserve"> </w:t>
      </w:r>
      <w:r>
        <w:t xml:space="preserve">(Halmos 1970, sec. 11)</w:t>
      </w:r>
      <w:r>
        <w:t xml:space="preserve">.</w:t>
      </w:r>
    </w:p>
    <w:bookmarkStart w:id="50" w:name="exm-parallel-wording"/>
    <w:p>
      <w:pPr>
        <w:pStyle w:val="BodyText"/>
      </w:pPr>
      <w:r>
        <w:rPr>
          <w:b/>
          <w:bCs/>
        </w:rPr>
        <w:t xml:space="preserve">Example 11 (Defining the lasso in the words of the ridge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ridge estimate minimizes the</w:t>
      </w:r>
      <w:r>
        <w:t xml:space="preserve"> </w:t>
      </w:r>
      <w:hyperlink r:id="rId4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on the size of the coefficients, which is the sum of their squares.</w:t>
      </w:r>
      <w:r>
        <w:t xml:space="preserve"> </w:t>
      </w:r>
      <w:r>
        <w:t xml:space="preserve">The lasso estimate is the vector of coefficients with the smallest penalized fit, where the penalty adds up the absolute values.</w:t>
      </w:r>
    </w:p>
    <w:p>
      <w:pPr>
        <w:pStyle w:val="BlockText"/>
      </w:pPr>
      <w:r>
        <w:t xml:space="preserve">✅ The ridge estimate minimizes the residual sum of squares plus a penalty equal to the sum of the squared coefficients.</w:t>
      </w:r>
      <w:r>
        <w:t xml:space="preserve"> </w:t>
      </w:r>
      <w:r>
        <w:t xml:space="preserve">The lasso estimate minimizes the residual sum of squares plus a penalty equal to the sum of the absolute values of the coefficients.</w:t>
      </w:r>
      <w:r>
        <w:t xml:space="preserve"> </w:t>
      </w:r>
      <w:r>
        <w:t xml:space="preserve">The two definitions differ only in the penalty.</w:t>
      </w:r>
    </w:p>
    <w:p>
      <w:pPr>
        <w:pStyle w:val="FirstParagraph"/>
      </w:pPr>
      <w:r>
        <w:t xml:space="preserve">The ❌ pair varies every phrase, so the reader must compare them clause by clause to find that only the penalty differs.</w:t>
      </w:r>
      <w:r>
        <w:t xml:space="preserve"> </w:t>
      </w:r>
      <w:r>
        <w:t xml:space="preserve">The ✅ pair repeats the shared words and ends by naming the one change.</w:t>
      </w:r>
    </w:p>
    <w:bookmarkEnd w:id="50"/>
    <w:p>
      <w:pPr>
        <w:pStyle w:val="BodyText"/>
      </w:pPr>
      <w:r>
        <w:t xml:space="preserve">Rewording is for the places where the meaning differs.</w:t>
      </w:r>
      <w:r>
        <w:t xml:space="preserve"> </w:t>
      </w:r>
      <w:r>
        <w:t xml:space="preserve">Do not repeat a result for the sake of repetition;</w:t>
      </w:r>
      <w:r>
        <w:t xml:space="preserve"> </w:t>
      </w:r>
      <w:hyperlink r:id="rId51">
        <w:r>
          <w:rPr>
            <w:rStyle w:val="Hyperlink"/>
          </w:rPr>
          <w:t xml:space="preserve">reuse one written version of each result</w:t>
        </w:r>
      </w:hyperlink>
      <w:r>
        <w:t xml:space="preserve"> </w:t>
      </w:r>
      <w:r>
        <w:t xml:space="preserve">covers that case.</w:t>
      </w:r>
    </w:p>
    <w:p>
      <w:pPr>
        <w:pStyle w:val="BodyText"/>
      </w:pPr>
      <w:r>
        <w:t xml:space="preserve">No check can decide that two results are parallel,</w:t>
      </w:r>
      <w:r>
        <w:t xml:space="preserve"> </w:t>
      </w:r>
      <w:r>
        <w:t xml:space="preserve">so this stays a writing rule that review enforces.</w:t>
      </w:r>
    </w:p>
    <w:bookmarkEnd w:id="52"/>
    <w:bookmarkStart w:id="55" w:name="state-a-theorem-in-one-short-sentence"/>
    <w:p>
      <w:pPr>
        <w:pStyle w:val="Heading2"/>
      </w:pPr>
      <w:r>
        <w:t xml:space="preserve">12 State a theorem in one short sentence</w:t>
      </w:r>
    </w:p>
    <w:p>
      <w:pPr>
        <w:pStyle w:val="FirstParagraph"/>
      </w:pPr>
      <w:r>
        <w:t xml:space="preserve">Halmos advises that</w:t>
      </w:r>
      <w:r>
        <w:t xml:space="preserve"> </w:t>
      </w:r>
      <w:r>
        <w:t xml:space="preserve">“the statement of the theorem should consist of one sentence whenever possible”</w:t>
      </w:r>
      <w:r>
        <w:t xml:space="preserve">,</w:t>
      </w:r>
      <w:r>
        <w:t xml:space="preserve"> </w:t>
      </w:r>
      <w:r>
        <w:t xml:space="preserve">and that the sentence be a short one</w:t>
      </w:r>
      <w:r>
        <w:t xml:space="preserve"> </w:t>
      </w:r>
      <w:r>
        <w:t xml:space="preserve">(Halmos 1970, sec. 10)</w:t>
      </w:r>
      <w:r>
        <w:t xml:space="preserve">.</w:t>
      </w:r>
      <w:r>
        <w:t xml:space="preserve"> </w:t>
      </w:r>
      <w:r>
        <w:t xml:space="preserve">Put the introductory comments, preliminary definitions and motivation before the statement,</w:t>
      </w:r>
      <w:r>
        <w:t xml:space="preserve"> </w:t>
      </w:r>
      <w:r>
        <w:t xml:space="preserve">and the proof after it.</w:t>
      </w:r>
      <w:r>
        <w:t xml:space="preserve"> </w:t>
      </w:r>
      <w:r>
        <w:t xml:space="preserve">Leave asides out of the statement itself:</w:t>
      </w:r>
      <w:r>
        <w:t xml:space="preserve"> </w:t>
      </w:r>
      <w:r>
        <w:t xml:space="preserve">“Without loss of generality we may assume …”</w:t>
      </w:r>
      <w:r>
        <w:t xml:space="preserve"> </w:t>
      </w:r>
      <w:r>
        <w:t xml:space="preserve">and</w:t>
      </w:r>
      <w:r>
        <w:t xml:space="preserve"> </w:t>
      </w:r>
      <w:r>
        <w:t xml:space="preserve">“Moreover it follows from Theorem 1 that …”</w:t>
      </w:r>
      <w:r>
        <w:t xml:space="preserve"> </w:t>
      </w:r>
      <w:r>
        <w:t xml:space="preserve">“do not belong in the statement of a theorem”</w:t>
      </w:r>
      <w:r>
        <w:t xml:space="preserve"> </w:t>
      </w:r>
      <w:r>
        <w:t xml:space="preserve">(Halmos 1970, sec. 10)</w:t>
      </w:r>
      <w:r>
        <w:t xml:space="preserve">.</w:t>
      </w:r>
      <w:r>
        <w:t xml:space="preserve"> </w:t>
      </w:r>
      <w:r>
        <w:t xml:space="preserve">A reasoning word in a statement (</w:t>
      </w:r>
      <w:r>
        <w:t xml:space="preserve">“so”</w:t>
      </w:r>
      <w:r>
        <w:t xml:space="preserve">,</w:t>
      </w:r>
      <w:r>
        <w:t xml:space="preserve"> </w:t>
      </w:r>
      <w:r>
        <w:t xml:space="preserve">“because”</w:t>
      </w:r>
      <w:r>
        <w:t xml:space="preserve">) is a separate fault,</w:t>
      </w:r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Build every unit from smaller atomic units</w:t>
        </w:r>
      </w:hyperlink>
      <w:r>
        <w:t xml:space="preserve"> </w:t>
      </w:r>
      <w:r>
        <w:t xml:space="preserve">covers it.</w:t>
      </w:r>
    </w:p>
    <w:bookmarkStart w:id="54" w:name="exm-one-sentence-statement"/>
    <w:p>
      <w:pPr>
        <w:pStyle w:val="BodyText"/>
      </w:pPr>
      <w:r>
        <w:rPr>
          <w:b/>
          <w:bCs/>
        </w:rPr>
        <w:t xml:space="preserve">Example 12 (Moving an aside out of a statement)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Without loss of generality, let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Moreover, the sequence converges.</w:t>
      </w:r>
    </w:p>
    <w:p>
      <w:pPr>
        <w:pStyle w:val="BlockText"/>
      </w:pPr>
      <w:r>
        <w:t xml:space="preserve">✅ 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then the sequence converges.</w:t>
      </w:r>
    </w:p>
    <w:p>
      <w:pPr>
        <w:pStyle w:val="FirstParagraph"/>
      </w:pPr>
      <w:r>
        <w:t xml:space="preserve">The ❌ statement is two sentences, and the first one is an aside.</w:t>
      </w:r>
      <w:r>
        <w:t xml:space="preserve"> </w:t>
      </w:r>
      <w:r>
        <w:t xml:space="preserve">The ✅ statement is one implication.</w:t>
      </w:r>
      <w:r>
        <w:t xml:space="preserve"> </w:t>
      </w:r>
      <w:r>
        <w:t xml:space="preserve">If the case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needs the same argument, say so in the proof.</w:t>
      </w:r>
    </w:p>
    <w:bookmarkEnd w:id="54"/>
    <w:p>
      <w:pPr>
        <w:pStyle w:val="BodyText"/>
      </w:pPr>
      <w:r>
        <w:t xml:space="preserve">A statement that lists many hypotheses and many conclusions is too long for one sentence.</w:t>
      </w:r>
      <w:r>
        <w:t xml:space="preserve"> </w:t>
      </w:r>
      <w:r>
        <w:t xml:space="preserve">Halmos says that</w:t>
      </w:r>
      <w:r>
        <w:t xml:space="preserve"> </w:t>
      </w:r>
      <w:r>
        <w:t xml:space="preserve">“a list of eight hypotheses … and a list of six conclusions do not a theorem make;</w:t>
      </w:r>
      <w:r>
        <w:t xml:space="preserve"> </w:t>
      </w:r>
      <w:r>
        <w:t xml:space="preserve">they are a badly expounded theory”</w:t>
      </w:r>
      <w:r>
        <w:t xml:space="preserve">,</w:t>
      </w:r>
      <w:r>
        <w:t xml:space="preserve"> </w:t>
      </w:r>
      <w:r>
        <w:t xml:space="preserve">and that the hypotheses</w:t>
      </w:r>
      <w:r>
        <w:t xml:space="preserve"> </w:t>
      </w:r>
      <w:r>
        <w:t xml:space="preserve">“probably describe a general concept that deserves to be isolated, named, and studied”</w:t>
      </w:r>
      <w:r>
        <w:t xml:space="preserve"> </w:t>
      </w:r>
      <w:r>
        <w:t xml:space="preserve">(Halmos 1970, sec. 10)</w:t>
      </w:r>
      <w:r>
        <w:t xml:space="preserve">.</w:t>
      </w:r>
      <w:r>
        <w:t xml:space="preserve"> </w:t>
      </w:r>
      <w:r>
        <w:t xml:space="preserve">Name the shared concept in its own definition,</w:t>
      </w:r>
      <w:r>
        <w:t xml:space="preserve"> </w:t>
      </w:r>
      <w:r>
        <w:t xml:space="preserve">and state each conclusion as its own result.</w:t>
      </w:r>
    </w:p>
    <w:p>
      <w:pPr>
        <w:pStyle w:val="BodyText"/>
      </w:pPr>
      <w:r>
        <w:t xml:space="preserve">A warn-only check flags</w:t>
      </w:r>
      <w:r>
        <w:t xml:space="preserve"> </w:t>
      </w:r>
      <w:r>
        <w:t xml:space="preserve">“without loss of generality”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“furthermore”</w:t>
      </w:r>
      <w:r>
        <w:t xml:space="preserve"> </w:t>
      </w:r>
      <w:r>
        <w:t xml:space="preserve">on a line that a pull request adds to a theorem statement.</w:t>
      </w:r>
      <w:r>
        <w:t xml:space="preserve"> </w:t>
      </w:r>
      <w:r>
        <w:t xml:space="preserve">No check can measure whether a statement is short or whether its hypotheses form a concept,</w:t>
      </w:r>
      <w:r>
        <w:t xml:space="preserve"> </w:t>
      </w:r>
      <w:r>
        <w:t xml:space="preserve">so the length rule stays a writing rule that review enforces.</w:t>
      </w:r>
    </w:p>
    <w:bookmarkEnd w:id="55"/>
    <w:bookmarkStart w:id="69" w:name="rules-that-other-chapters-cover"/>
    <w:p>
      <w:pPr>
        <w:pStyle w:val="Heading2"/>
      </w:pPr>
      <w:r>
        <w:t xml:space="preserve">13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3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56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57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58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59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</w:t>
                  </w:r>
                  <w:r>
                    <w:t xml:space="preserve"> </w:t>
                  </w:r>
                  <w:hyperlink r:id="rId60">
                    <w:r>
                      <w:rPr>
                        <w:rStyle w:val="Hyperlink"/>
                      </w:rPr>
                      <w:t xml:space="preserve">restrictive clause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61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62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63"/>
          <w:p/>
        </w:tc>
      </w:tr>
    </w:tbl>
    <w:bookmarkStart w:id="68" w:name="refs"/>
    <w:bookmarkStart w:id="65" w:name="ref-halmos1970write"/>
    <w:p>
      <w:pPr>
        <w:pStyle w:val="Bibliography"/>
      </w:pPr>
      <w:r>
        <w:t xml:space="preserve">Halmos, Paul R. 1970.</w:t>
      </w:r>
      <w:r>
        <w:t xml:space="preserve"> </w:t>
      </w:r>
      <w:r>
        <w:t xml:space="preserve">“How to Write Mathematics.”</w:t>
      </w:r>
      <w:r>
        <w:t xml:space="preserve"> </w:t>
      </w:r>
      <w:r>
        <w:rPr>
          <w:i/>
          <w:iCs/>
        </w:rPr>
        <w:t xml:space="preserve">L’Enseignement Math</w:t>
      </w:r>
      <w:r>
        <w:rPr>
          <w:i/>
          <w:iCs/>
        </w:rPr>
        <w:t xml:space="preserve">é</w:t>
      </w:r>
      <w:r>
        <w:rPr>
          <w:i/>
          <w:iCs/>
        </w:rPr>
        <w:t xml:space="preserve">matique</w:t>
      </w:r>
      <w:r>
        <w:t xml:space="preserve"> </w:t>
      </w:r>
      <w:r>
        <w:t xml:space="preserve">16.</w:t>
      </w:r>
      <w:r>
        <w:t xml:space="preserve"> </w:t>
      </w:r>
      <w:hyperlink r:id="rId64">
        <w:r>
          <w:rPr>
            <w:rStyle w:val="Hyperlink"/>
          </w:rPr>
          <w:t xml:space="preserve">https://doi.org/10.5169/seals-43857</w:t>
        </w:r>
      </w:hyperlink>
      <w:r>
        <w:t xml:space="preserve">.</w:t>
      </w:r>
    </w:p>
    <w:bookmarkEnd w:id="65"/>
    <w:bookmarkStart w:id="67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2" Target="avoid-cliches.qmd#tone" TargetMode="External" /><Relationship Type="http://schemas.openxmlformats.org/officeDocument/2006/relationships/hyperlink" Id="rId20" Target="defining-terms.qmd#def-population" TargetMode="External" /><Relationship Type="http://schemas.openxmlformats.org/officeDocument/2006/relationships/hyperlink" Id="rId49" Target="defining-terms.qmd#def-rss" TargetMode="External" /><Relationship Type="http://schemas.openxmlformats.org/officeDocument/2006/relationships/hyperlink" Id="rId45" Target="defining-terms.qmd#def-sample-mea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46" Target="defining-terms.qmd#def-variance-expression-and-prose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38" Target="defining-terms/derivation-format.qmd" TargetMode="External" /><Relationship Type="http://schemas.openxmlformats.org/officeDocument/2006/relationships/hyperlink" Id="rId59" Target="grammar.qmd#avoid-garden-path-sentences" TargetMode="External" /><Relationship Type="http://schemas.openxmlformats.org/officeDocument/2006/relationships/hyperlink" Id="rId60" Target="grammar.qmd#def-restrictive-clause" TargetMode="External" /><Relationship Type="http://schemas.openxmlformats.org/officeDocument/2006/relationships/hyperlink" Id="rId61" Target="grammar.qmd#relative-pronouns" TargetMode="External" /><Relationship Type="http://schemas.openxmlformats.org/officeDocument/2006/relationships/hyperlink" Id="rId64" Target="https://doi.org/10.5169/seals-43857" TargetMode="External" /><Relationship Type="http://schemas.openxmlformats.org/officeDocument/2006/relationships/hyperlink" Id="rId39" Target="https://github.com/Morrison-Lab/gha" TargetMode="External" /><Relationship Type="http://schemas.openxmlformats.org/officeDocument/2006/relationships/hyperlink" Id="rId66" Target="https://jmlr.csail.mit.edu/reviewing-papers/knuth_mathematical_writing.pdf" TargetMode="External" /><Relationship Type="http://schemas.openxmlformats.org/officeDocument/2006/relationships/hyperlink" Id="rId43" Target="https://morrison-lab.github.io/mds/functions.html#def-function" TargetMode="External" /><Relationship Type="http://schemas.openxmlformats.org/officeDocument/2006/relationships/hyperlink" Id="rId30" Target="https://quarto.org/docs/authoring/cross-references.html#equations" TargetMode="External" /><Relationship Type="http://schemas.openxmlformats.org/officeDocument/2006/relationships/hyperlink" Id="rId57" Target="inclusive-writing.qmd#rewrite-noun-strings-and-hidden-verb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56" Target="notation.qmd#show-why-you-need-a-result-before-you-derive-it" TargetMode="External" /><Relationship Type="http://schemas.openxmlformats.org/officeDocument/2006/relationships/hyperlink" Id="rId53" Target="teaching.qmd#build-every-unit-from-smaller-atomic-units" TargetMode="External" /><Relationship Type="http://schemas.openxmlformats.org/officeDocument/2006/relationships/hyperlink" Id="rId51" Target="teaching.qmd#reuse-one-written-version-of-each-result" TargetMode="External" /><Relationship Type="http://schemas.openxmlformats.org/officeDocument/2006/relationships/hyperlink" Id="rId58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avoid-cliches.qmd#tone" TargetMode="External" /><Relationship Type="http://schemas.openxmlformats.org/officeDocument/2006/relationships/hyperlink" Id="rId20" Target="defining-terms.qmd#def-population" TargetMode="External" /><Relationship Type="http://schemas.openxmlformats.org/officeDocument/2006/relationships/hyperlink" Id="rId49" Target="defining-terms.qmd#def-rss" TargetMode="External" /><Relationship Type="http://schemas.openxmlformats.org/officeDocument/2006/relationships/hyperlink" Id="rId45" Target="defining-terms.qmd#def-sample-mea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46" Target="defining-terms.qmd#def-variance-expression-and-prose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38" Target="defining-terms/derivation-format.qmd" TargetMode="External" /><Relationship Type="http://schemas.openxmlformats.org/officeDocument/2006/relationships/hyperlink" Id="rId59" Target="grammar.qmd#avoid-garden-path-sentences" TargetMode="External" /><Relationship Type="http://schemas.openxmlformats.org/officeDocument/2006/relationships/hyperlink" Id="rId60" Target="grammar.qmd#def-restrictive-clause" TargetMode="External" /><Relationship Type="http://schemas.openxmlformats.org/officeDocument/2006/relationships/hyperlink" Id="rId61" Target="grammar.qmd#relative-pronouns" TargetMode="External" /><Relationship Type="http://schemas.openxmlformats.org/officeDocument/2006/relationships/hyperlink" Id="rId64" Target="https://doi.org/10.5169/seals-43857" TargetMode="External" /><Relationship Type="http://schemas.openxmlformats.org/officeDocument/2006/relationships/hyperlink" Id="rId39" Target="https://github.com/Morrison-Lab/gha" TargetMode="External" /><Relationship Type="http://schemas.openxmlformats.org/officeDocument/2006/relationships/hyperlink" Id="rId66" Target="https://jmlr.csail.mit.edu/reviewing-papers/knuth_mathematical_writing.pdf" TargetMode="External" /><Relationship Type="http://schemas.openxmlformats.org/officeDocument/2006/relationships/hyperlink" Id="rId43" Target="https://morrison-lab.github.io/mds/functions.html#def-function" TargetMode="External" /><Relationship Type="http://schemas.openxmlformats.org/officeDocument/2006/relationships/hyperlink" Id="rId30" Target="https://quarto.org/docs/authoring/cross-references.html#equations" TargetMode="External" /><Relationship Type="http://schemas.openxmlformats.org/officeDocument/2006/relationships/hyperlink" Id="rId57" Target="inclusive-writing.qmd#rewrite-noun-strings-and-hidden-verb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56" Target="notation.qmd#show-why-you-need-a-result-before-you-derive-it" TargetMode="External" /><Relationship Type="http://schemas.openxmlformats.org/officeDocument/2006/relationships/hyperlink" Id="rId53" Target="teaching.qmd#build-every-unit-from-smaller-atomic-units" TargetMode="External" /><Relationship Type="http://schemas.openxmlformats.org/officeDocument/2006/relationships/hyperlink" Id="rId51" Target="teaching.qmd#reuse-one-written-version-of-each-result" TargetMode="External" /><Relationship Type="http://schemas.openxmlformats.org/officeDocument/2006/relationships/hyperlink" Id="rId58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2026-10-30T00:07:39Z</dcterms:created>
  <dcterms:modified xsi:type="dcterms:W3CDTF">2026-10-30T00:07:39Z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17:04:15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