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del w:id="16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17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18" w:author="PR Preview" w:date="2026-01-01T00:00:00Z">
        <w:r>
          <w:t xml:space="preserve">Use the notation that best represents the concept being depicted.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Choose the symbol, the macro and the name by asking what the object is,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not by asking what is quicker to type or what the nearby text used.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25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26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27" w:author="PR Preview" w:date="2026-01-01T00:00:00Z">
        <w:r>
          <w:t xml:space="preserve">The mean function is a mean, so it is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$\truemean$</w:t>
        </w:r>
      </w:ins>
      <w:ins w:id="30" w:author="PR Preview" w:date="2026-01-01T00:00:00Z">
        <w:r>
          <w:t xml:space="preserve">, not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$\predfn$</w:t>
        </w:r>
      </w:ins>
      <w:ins w:id="3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4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35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36" w:author="PR Preview" w:date="2026-01-01T00:00:00Z">
        <w:r>
          <w:t xml:space="preserve">When no rule covers a case, ask the same question: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which symbol, name and form best represents the concept here?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Then record the answer as a rule, with this principle as its reason.</w:t>
        </w:r>
      </w:ins>
    </w:p>
    <w:bookmarkEnd w:id="62"/>
    <w:bookmarkStart w:id="64" w:name="X9857f22a379a2f58c5963942aa246933a5ce6a5"/>
    <w:p>
      <w:pPr>
        <w:pStyle w:val="Heading2"/>
      </w:pPr>
      <w:ins w:id="41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42" w:author="PR Preview" w:date="2026-01-01T00:00:00Z">
        <w:r>
          <w:t xml:space="preserve">Write a matrix in matrix styling, not in the plain italic of a scalar.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This holds for the predictor matrix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$\mX$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in every file you edit: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notes, assignments, solutions, slides and note sheets.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 plain italic</w:t>
        </w:r>
      </w:ins>
      <w:ins w:id="53" w:author="PR Preview" w:date="2026-01-01T00:00:00Z">
        <w:r>
          <w:t xml:space="preserve"> </w:t>
        </w:r>
      </w:ins>
      <m:oMath>
        <m:r>
          <m:t>X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reads as a random variable or a single number.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In a group that uses shared macros (see</w:t>
        </w:r>
      </w:ins>
      <w:ins w:id="58" w:author="PR Preview" w:date="2026-01-01T00:00:00Z">
        <w:r>
          <w:t xml:space="preserve"> </w:t>
        </w:r>
      </w:ins>
      <w:hyperlink w:anchor="using-shared-macros">
        <w:ins w:id="59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60" w:author="PR Preview" w:date="2026-01-01T00:00:00Z">
        <w:r>
          <w:t xml:space="preserve">),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write the predictor matrix with the matrix macro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\mX</w:t>
        </w:r>
      </w:ins>
      <w:ins w:id="65" w:author="PR Preview" w:date="2026-01-01T00:00:00Z">
        <w:r>
          <w:t xml:space="preserve">.</w:t>
        </w:r>
      </w:ins>
    </w:p>
    <w:p>
      <w:pPr>
        <w:pStyle w:val="BodyText"/>
      </w:pPr>
      <w:ins w:id="66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i/>
            <w:iCs/>
          </w:rPr>
          <w:t xml:space="preserve">predictor matrix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holds the raw inputs.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Its rows are the predictor vectors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$\vx_i$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of the</w:t>
        </w:r>
      </w:ins>
      <w:ins w:id="78" w:author="PR Preview" w:date="2026-01-01T00:00:00Z">
        <w:r>
          <w:t xml:space="preserve"> </w:t>
        </w:r>
      </w:ins>
      <m:oMath>
        <m:r>
          <m:t>n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observations.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Write it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\mX</w:t>
        </w:r>
      </w:ins>
      <w:ins w:id="8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6" w:author="PR Preview" w:date="2026-01-01T00:00:00Z">
        <w:r>
          <w:t xml:space="preserve">The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i/>
            <w:iCs/>
          </w:rPr>
          <w:t xml:space="preserve">design matrix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holds the inputs after any feature map and the intercept trick.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Its rows are the design vectors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$\vfeatmap(\vx_i)$</w:t>
        </w:r>
      </w:ins>
      <w:ins w:id="95" w:author="PR Preview" w:date="2026-01-01T00:00:00Z">
        <w:r>
          <w:t xml:space="preserve">.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Write it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rPr>
            <w:rStyle w:val="VerbatimChar"/>
          </w:rPr>
          <w:t xml:space="preserve">\design(\mX)</w:t>
        </w:r>
      </w:ins>
      <w:ins w:id="100" w:author="PR Preview" w:date="2026-01-01T00:00:00Z">
        <w:r>
          <w:t xml:space="preserve">, or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rStyle w:val="VerbatimChar"/>
          </w:rPr>
          <w:t xml:space="preserve">\design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for short.</w:t>
        </w:r>
      </w:ins>
    </w:p>
    <w:p>
      <w:pPr>
        <w:pStyle w:val="FirstParagraph"/>
      </w:pPr>
      <w:ins w:id="105" w:author="PR Preview" w:date="2026-01-01T00:00:00Z">
        <w:r>
          <w:t xml:space="preserve">The same split holds for one observation: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 predictor vector is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rStyle w:val="VerbatimChar"/>
          </w:rPr>
          <w:t xml:space="preserve">\vx</w:t>
        </w:r>
      </w:ins>
      <w:ins w:id="110" w:author="PR Preview" w:date="2026-01-01T00:00:00Z">
        <w:r>
          <w:t xml:space="preserve">, and the design vector is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rStyle w:val="VerbatimChar"/>
          </w:rPr>
          <w:t xml:space="preserve">\vfeatmap(\vx)</w:t>
        </w:r>
      </w:ins>
      <w:ins w:id="113" w:author="PR Preview" w:date="2026-01-01T00:00:00Z">
        <w:r>
          <w:t xml:space="preserve">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Without a feature map or an intercept column,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 design matrix equals the predictor matrix, but say so rather than reuse one symbol for both.</w:t>
        </w:r>
      </w:ins>
    </w:p>
    <w:bookmarkStart w:id="63" w:name="exm-predictor-vs-design-matrix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 </w:t>
        </w:r>
      </w:ins>
    </w:p>
    <w:p>
      <w:pPr>
        <w:pStyle w:val="BlockText"/>
      </w:pPr>
      <w:ins w:id="121" w:author="PR Preview" w:date="2026-01-01T00:00:00Z">
        <w:r>
          <w:t xml:space="preserve">❌ Let</w:t>
        </w:r>
      </w:ins>
      <w:ins w:id="122" w:author="PR Preview" w:date="2026-01-01T00:00:00Z">
        <w:r>
          <w:t xml:space="preserve"> </w:t>
        </w:r>
      </w:ins>
      <m:oMath>
        <m:r>
          <m:t>X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be the design matrix, and fit</w:t>
        </w:r>
      </w:ins>
      <w:ins w:id="1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26" w:author="PR Preview" w:date="2026-01-01T00:00:00Z">
        <w:r>
          <w:t xml:space="preserve">.</w:t>
        </w:r>
      </w:ins>
    </w:p>
    <w:p>
      <w:pPr>
        <w:pStyle w:val="BlockText"/>
      </w:pPr>
      <w:ins w:id="127" w:author="PR Preview" w:date="2026-01-01T00:00:00Z">
        <w:r>
          <w:t xml:space="preserve">✅ Let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$\mX$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be the predictor matrix and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$\design(\mX)$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the design matrix.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fitted coefficients solve the normal equations for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$\design(\mX)$</w:t>
        </w:r>
      </w:ins>
      <w:ins w:id="140" w:author="PR Preview" w:date="2026-01-01T00:00:00Z">
        <w:r>
          <w:t xml:space="preserve">.</w:t>
        </w:r>
      </w:ins>
    </w:p>
    <w:p>
      <w:pPr>
        <w:pStyle w:val="FirstParagraph"/>
      </w:pPr>
      <w:ins w:id="141" w:author="PR Preview" w:date="2026-01-01T00:00:00Z">
        <w:r>
          <w:t xml:space="preserve">The ✅ version shows which matrix holds the raw inputs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 which holds the columns the model uses.</w:t>
        </w:r>
      </w:ins>
    </w:p>
    <w:bookmarkEnd w:id="63"/>
    <w:bookmarkEnd w:id="64"/>
    <w:bookmarkStart w:id="66" w:name="stating-formulas-in-their-general-form"/>
    <w:p>
      <w:pPr>
        <w:pStyle w:val="Heading2"/>
      </w:pPr>
      <w:ins w:id="144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145" w:author="PR Preview" w:date="2026-01-01T00:00:00Z">
        <w:r>
          <w:t xml:space="preserve">On a reference sheet, a formula sheet or a summary,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state each formula in its general form.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Do not state it only for a specific example.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 reader looks a formula up to apply it to a new case,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 an example shows only one case.</w:t>
        </w:r>
      </w:ins>
    </w:p>
    <w:bookmarkStart w:id="65" w:name="exm-general-form-formula"/>
    <w:p>
      <w:pPr>
        <w:pStyle w:val="BodyText"/>
      </w:pPr>
      <w:ins w:id="154" w:author="PR Preview" w:date="2026-01-01T00:00:00Z">
        <w:r>
          <w:rPr>
            <w:b/>
            <w:bCs/>
          </w:rPr>
          <w:t xml:space="preserve">Example 25 (Stating the chain rule)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 </w:t>
        </w:r>
      </w:ins>
    </w:p>
    <w:p>
      <w:pPr>
        <w:pStyle w:val="BlockText"/>
      </w:pPr>
      <w:ins w:id="157" w:author="PR Preview" w:date="2026-01-01T00:00:00Z">
        <w:r>
          <w:t xml:space="preserve">❌</w:t>
        </w:r>
      </w:ins>
      <w:ins w:id="15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159" w:author="PR Preview" w:date="2026-01-01T00:00:00Z">
        <w:r>
          <w:t xml:space="preserve">✅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$\dif{f(u)}{w} = f'(u) \dif{u}{w}$</w:t>
        </w:r>
      </w:ins>
    </w:p>
    <w:p>
      <w:pPr>
        <w:pStyle w:val="FirstParagraph"/>
      </w:pPr>
      <w:ins w:id="162" w:author="PR Preview" w:date="2026-01-01T00:00:00Z">
        <w:r>
          <w:t xml:space="preserve">The ❌ line is the chain rule for squaring only.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 ✅ line holds for every differentiable</w:t>
        </w:r>
      </w:ins>
      <w:ins w:id="165" w:author="PR Preview" w:date="2026-01-01T00:00:00Z">
        <w:r>
          <w:t xml:space="preserve"> </w:t>
        </w:r>
      </w:ins>
      <m:oMath>
        <m:r>
          <m:t>f</m:t>
        </m:r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and the squaring case follows by taking</w:t>
        </w:r>
      </w:ins>
      <w:ins w:id="1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170" w:author="PR Preview" w:date="2026-01-01T00:00:00Z">
        <w:r>
          <w:t xml:space="preserve">.</w:t>
        </w:r>
      </w:ins>
    </w:p>
    <w:bookmarkEnd w:id="65"/>
    <w:p>
      <w:pPr>
        <w:pStyle w:val="BodyText"/>
      </w:pPr>
      <w:ins w:id="171" w:author="PR Preview" w:date="2026-01-01T00:00:00Z">
        <w:r>
          <w:t xml:space="preserve">Put a specific case on the sheet only as a labeled example next to the general formula.</w:t>
        </w:r>
      </w:ins>
    </w:p>
    <w:bookmarkEnd w:id="66"/>
    <w:bookmarkStart w:id="68" w:name="X7f8c42fa04e60987c7b1508a72c3ab256e37ba7"/>
    <w:p>
      <w:pPr>
        <w:pStyle w:val="Heading2"/>
      </w:pPr>
      <w:ins w:id="172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173" w:author="PR Preview" w:date="2026-01-01T00:00:00Z">
        <w:r>
          <w:t xml:space="preserve">Write the mean function as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$\truemean$</w:t>
        </w:r>
      </w:ins>
      <w:ins w:id="176" w:author="PR Preview" w:date="2026-01-01T00:00:00Z">
        <w:r>
          <w:t xml:space="preserve">, not as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$\predfn$</w:t>
        </w:r>
      </w:ins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 mean function is the population mean of the outcome given the inputs,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$\truemeanf{x}$</w:t>
        </w:r>
      </w:ins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In a group that uses shared macros (see</w:t>
        </w:r>
      </w:ins>
      <w:ins w:id="187" w:author="PR Preview" w:date="2026-01-01T00:00:00Z">
        <w:r>
          <w:t xml:space="preserve"> </w:t>
        </w:r>
      </w:ins>
      <w:hyperlink w:anchor="using-shared-macros">
        <w:ins w:id="188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89" w:author="PR Preview" w:date="2026-01-01T00:00:00Z">
        <w:r>
          <w:t xml:space="preserve">),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write it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rStyle w:val="VerbatimChar"/>
          </w:rPr>
          <w:t xml:space="preserve">\truemeanf{x}</w:t>
        </w:r>
      </w:ins>
      <w:ins w:id="194" w:author="PR Preview" w:date="2026-01-01T00:00:00Z">
        <w:r>
          <w:t xml:space="preserve">.</w:t>
        </w:r>
      </w:ins>
    </w:p>
    <w:p>
      <w:pPr>
        <w:pStyle w:val="BodyText"/>
      </w:pPr>
      <w:ins w:id="195" w:author="PR Preview" w:date="2026-01-01T00:00:00Z">
        <w:r>
          <w:t xml:space="preserve">Name the object you mean.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When the text refers to the fitted prediction function as a concept,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 rule that turns an input into a predicted outcome,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write the fitted prediction function, not the fitted mean function.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Write it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rStyle w:val="VerbatimChar"/>
          </w:rPr>
          <w:t xml:space="preserve">\epredfnf{x}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(symbol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$\epredfn$</w:t>
        </w:r>
      </w:ins>
      <w:ins w:id="210" w:author="PR Preview" w:date="2026-01-01T00:00:00Z">
        <w:r>
          <w:t xml:space="preserve">) for an estimated one, or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rPr>
            <w:rStyle w:val="VerbatimChar"/>
          </w:rPr>
          <w:t xml:space="preserve">\predfnf{x}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(symbol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$\predfn$</w:t>
        </w:r>
      </w:ins>
      <w:ins w:id="217" w:author="PR Preview" w:date="2026-01-01T00:00:00Z">
        <w:r>
          <w:t xml:space="preserve">) for any prediction function.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Use the fitted or estimated mean function only where the text is about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estimating the mean function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$\truemean$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ins w:id="226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 </w:t>
        </w:r>
      </w:ins>
    </w:p>
    <w:p>
      <w:pPr>
        <w:pStyle w:val="BlockText"/>
      </w:pPr>
      <w:ins w:id="229" w:author="PR Preview" w:date="2026-01-01T00:00:00Z">
        <w:r>
          <w:t xml:space="preserve">❌ The expected squared error of the fitted mean function at</w:t>
        </w:r>
      </w:ins>
      <w:ins w:id="230" w:author="PR Preview" w:date="2026-01-01T00:00:00Z">
        <w:r>
          <w:t xml:space="preserve"> </w:t>
        </w:r>
      </w:ins>
      <m:oMath>
        <m:r>
          <m:t>x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$\E{(y - \hat{f}(x))^2}$</w:t>
        </w:r>
      </w:ins>
      <w:ins w:id="235" w:author="PR Preview" w:date="2026-01-01T00:00:00Z">
        <w:r>
          <w:t xml:space="preserve">.</w:t>
        </w:r>
      </w:ins>
    </w:p>
    <w:p>
      <w:pPr>
        <w:pStyle w:val="BlockText"/>
      </w:pPr>
      <w:ins w:id="236" w:author="PR Preview" w:date="2026-01-01T00:00:00Z">
        <w:r>
          <w:t xml:space="preserve">✅ The expected squared error of the fitted prediction function at</w:t>
        </w:r>
      </w:ins>
      <w:ins w:id="237" w:author="PR Preview" w:date="2026-01-01T00:00:00Z">
        <w:r>
          <w:t xml:space="preserve"> </w:t>
        </w:r>
      </w:ins>
      <m:oMath>
        <m:r>
          <m:t>x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$\E{\paren{\outvar - \epredfnf{x}}^2}$</w:t>
        </w:r>
      </w:ins>
      <w:ins w:id="242" w:author="PR Preview" w:date="2026-01-01T00:00:00Z">
        <w:r>
          <w:t xml:space="preserve">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 its bias is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$\E{\epredfnf{x}} - \truemeanf{x}$</w:t>
        </w:r>
      </w:ins>
      <w:ins w:id="247" w:author="PR Preview" w:date="2026-01-01T00:00:00Z">
        <w:r>
          <w:t xml:space="preserve">.</w:t>
        </w:r>
      </w:ins>
    </w:p>
    <w:p>
      <w:pPr>
        <w:pStyle w:val="FirstParagraph"/>
      </w:pPr>
      <w:ins w:id="248" w:author="PR Preview" w:date="2026-01-01T00:00:00Z">
        <w:r>
          <w:t xml:space="preserve">The ✅ version names the fitted prediction function where the concept is a prediction,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and keeps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$\truemean$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ins w:id="255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del w:id="256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For a discrete random variable</w:delText>
        </w:r>
      </w:del>
      <w:del w:id="259" w:author="PR Preview" w:date="2026-01-01T00:00:00Z">
        <w:r>
          <w:delText xml:space="preserve"> </w:delText>
        </w:r>
      </w:del>
      <m:oMath>
        <m:r>
          <m:t>X</m:t>
        </m:r>
      </m:oMath>
      <w:del w:id="260" w:author="PR Preview" w:date="2026-01-01T00:00:00Z">
        <w:r>
          <w:delText xml:space="preserve">:</w:delText>
        </w:r>
      </w:del>
    </w:p>
    <w:p>
      <w:pPr>
        <w:pStyle w:val="BodyText"/>
      </w:pPr>
      <w:ins w:id="261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For a discrete random variable</w:t>
        </w:r>
      </w:ins>
      <w:ins w:id="264" w:author="PR Preview" w:date="2026-01-01T00:00:00Z">
        <w:r>
          <w:t xml:space="preserve"> </w:t>
        </w:r>
      </w:ins>
      <m:oMath>
        <m:r>
          <m:t>X</m:t>
        </m:r>
      </m:oMath>
      <w:ins w:id="265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del w:id="266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267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del w:id="268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269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70" w:author="PR Preview" w:date="2026-01-01T00:00:00Z">
        <w:r>
          <w:rPr>
            <w:b/>
            <w:bCs/>
          </w:rPr>
          <w:delText xml:space="preserve"> </w:delText>
        </w:r>
      </w:del>
      <w:del w:id="271" w:author="PR Preview" w:date="2026-01-01T00:00:00Z">
        <w:r>
          <w:rPr>
            <w:b/>
            <w:bCs/>
          </w:rPr>
          <w:delText xml:space="preserve">before using it)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To show that</w:delText>
        </w:r>
      </w:del>
      <w:del w:id="2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is a strict local minimizer of</w:delText>
        </w:r>
      </w:del>
      <w:del w:id="2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we show that</w:delText>
        </w:r>
      </w:del>
      <w:del w:id="2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for every</w:delText>
        </w:r>
      </w:del>
      <w:del w:id="284" w:author="PR Preview" w:date="2026-01-01T00:00:00Z">
        <w:r>
          <w:delText xml:space="preserve"> </w:delText>
        </w:r>
      </w:del>
      <m:oMath>
        <m:r>
          <m:t>x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87" w:author="PR Preview" w:date="2026-01-01T00:00:00Z">
        <w:r>
          <w:rPr>
            <w:b/>
            <w:bCs/>
          </w:rPr>
          <w:t xml:space="preserve">Example 28 (Stating the restriction on</w:t>
        </w:r>
      </w:ins>
      <w:ins w:id="28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89" w:author="PR Preview" w:date="2026-01-01T00:00:00Z">
        <w:r>
          <w:rPr>
            <w:b/>
            <w:bCs/>
          </w:rPr>
          <w:t xml:space="preserve"> </w:t>
        </w:r>
      </w:ins>
      <w:ins w:id="290" w:author="PR Preview" w:date="2026-01-01T00:00:00Z">
        <w:r>
          <w:rPr>
            <w:b/>
            <w:bCs/>
          </w:rPr>
          <w:t xml:space="preserve">before using it)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To show that</w:t>
        </w:r>
      </w:ins>
      <w:ins w:id="2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a strict local minimizer of</w:t>
        </w:r>
      </w:ins>
      <w:ins w:id="2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97" w:author="PR Preview" w:date="2026-01-01T00:00:00Z">
        <w:r>
          <w:t xml:space="preserve">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we show that</w:t>
        </w:r>
      </w:ins>
      <w:ins w:id="3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for every</w:t>
        </w:r>
      </w:ins>
      <w:ins w:id="303" w:author="PR Preview" w:date="2026-01-01T00:00:00Z">
        <w:r>
          <w:t xml:space="preserve"> </w:t>
        </w:r>
      </w:ins>
      <m:oMath>
        <m:r>
          <m:t>x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del w:id="306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 </w:delText>
        </w:r>
      </w:del>
    </w:p>
    <w:p>
      <w:pPr>
        <w:pStyle w:val="BodyText"/>
      </w:pPr>
      <w:ins w:id="309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del w:id="312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 </w:delText>
        </w:r>
      </w:del>
    </w:p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del w:id="318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 </w:delText>
        </w:r>
      </w:del>
    </w:p>
    <w:p>
      <w:pPr>
        <w:pStyle w:val="BodyText"/>
      </w:pPr>
      <w:ins w:id="321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2026-10-26T08:19:11Z</dcterms:created>
  <dcterms:modified xsi:type="dcterms:W3CDTF">2026-10-26T08:19:11Z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