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2026-10-18 14:45:14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21:52:19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1"/>
    <w:bookmarkStart w:id="36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3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33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4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5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5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6"/>
    <w:bookmarkStart w:id="38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7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7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 variance</w:t>
      </w:r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38"/>
    <w:bookmarkStart w:id="41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9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0" w:name="exm-name-matches-notation"/>
    <w:p>
      <w:pPr>
        <w:pStyle w:val="BodyText"/>
      </w:pPr>
      <w:r>
        <w:rPr>
          <w:b/>
          <w:bCs/>
        </w:rPr>
        <w:t xml:space="preserve">Example 10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41"/>
    <w:bookmarkStart w:id="50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2" w:name="exm-use-shared-macro"/>
    <w:p>
      <w:pPr>
        <w:pStyle w:val="BodyText"/>
      </w:pPr>
      <w:r>
        <w:rPr>
          <w:b/>
          <w:bCs/>
        </w:rPr>
        <w:t xml:space="preserve">Example 11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2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3" w:name="exm-semantic-macro-name"/>
    <w:p>
      <w:pPr>
        <w:pStyle w:val="BodyText"/>
      </w:pPr>
      <w:r>
        <w:rPr>
          <w:b/>
          <w:bCs/>
        </w:rPr>
        <w:t xml:space="preserve">Example 12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3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44" w:name="exm-semantic-decorator"/>
    <w:p>
      <w:pPr>
        <w:pStyle w:val="BodyText"/>
      </w:pPr>
      <w:r>
        <w:rPr>
          <w:b/>
          <w:bCs/>
        </w:rPr>
        <w:t xml:space="preserve">Example 13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44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45" w:name="exm-semantic-font"/>
    <w:p>
      <w:pPr>
        <w:pStyle w:val="BodyText"/>
      </w:pPr>
      <w:r>
        <w:rPr>
          <w:b/>
          <w:bCs/>
        </w:rPr>
        <w:t xml:space="preserve">Example 14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45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46" w:name="exm-semantic-latin-letter"/>
    <w:p>
      <w:pPr>
        <w:pStyle w:val="BodyText"/>
      </w:pPr>
      <w:r>
        <w:rPr>
          <w:b/>
          <w:bCs/>
        </w:rPr>
        <w:t xml:space="preserve">Example 15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46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47" w:name="exm-named-quantity"/>
    <w:p>
      <w:pPr>
        <w:pStyle w:val="BodyText"/>
      </w:pPr>
      <w:r>
        <w:rPr>
          <w:b/>
          <w:bCs/>
        </w:rPr>
        <w:t xml:space="preserve">Example 16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47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48" w:name="exm-semantic-delimiter"/>
    <w:p>
      <w:pPr>
        <w:pStyle w:val="BodyText"/>
      </w:pPr>
      <w:r>
        <w:rPr>
          <w:b/>
          <w:bCs/>
        </w:rPr>
        <w:t xml:space="preserve">Example 17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48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meets in the document’s notation table,</w:t>
      </w:r>
      <w:r>
        <w:t xml:space="preserve"> </w:t>
      </w:r>
      <w:r>
        <w:t xml:space="preserve">with its meaning.</w:t>
      </w:r>
    </w:p>
    <w:bookmarkStart w:id="49" w:name="exm-describe-symbol-not-macro"/>
    <w:p>
      <w:pPr>
        <w:pStyle w:val="BodyText"/>
      </w:pPr>
      <w:r>
        <w:rPr>
          <w:b/>
          <w:bCs/>
        </w:rPr>
        <w:t xml:space="preserve">Example 18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49"/>
    <w:bookmarkEnd w:id="50"/>
    <w:bookmarkStart w:id="53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1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2" w:name="exm-concise-expression"/>
    <w:p>
      <w:pPr>
        <w:pStyle w:val="BodyText"/>
      </w:pPr>
      <w:r>
        <w:rPr>
          <w:b/>
          <w:bCs/>
        </w:rPr>
        <w:t xml:space="preserve">Example 19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2"/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3"/>
    <w:bookmarkStart w:id="55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 population mean</w:t>
      </w:r>
      <w:r>
        <w:t xml:space="preserve"> </w:t>
      </w:r>
      <w:r>
        <w:t xml:space="preserve">$\E{X}$</w:t>
      </w:r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w:r>
        <w:t xml:space="preserve">$\mu = \E{X}$</w:t>
      </w:r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54" w:name="exm-abstract-unused-subexpressions"/>
    <w:p>
      <w:pPr>
        <w:pStyle w:val="BodyText"/>
      </w:pPr>
      <w:r>
        <w:rPr>
          <w:b/>
          <w:bCs/>
        </w:rPr>
        <w:t xml:space="preserve">Example 20 (Abstracting the population mean)</w:t>
      </w:r>
      <w:r>
        <w:t xml:space="preserve"> </w:t>
      </w:r>
      <w:r>
        <w:t xml:space="preserve">Suppose a derivation expands the variance 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w:r>
        <w:t xml:space="preserve">$$
    \begin{aligned}
    \E{\paren{X - \E{X}}^2}
    &amp;= \E{X^2 - 2 X \E{X} + \E{X}^2}\\
    &amp;= \E{X^2} - 2 \E{X} \E{X} + \E{X}^2
    \end{aligned}
    $$</w:t>
      </w:r>
    </w:p>
    <w:p>
      <w:pPr>
        <w:pStyle w:val="BlockText"/>
      </w:pPr>
      <w:r>
        <w:t xml:space="preserve">✅ Let</w:t>
      </w:r>
      <w:r>
        <w:t xml:space="preserve"> </w:t>
      </w:r>
      <w:r>
        <w:t xml:space="preserve">$\mu = \E{X}$</w:t>
      </w:r>
      <w:r>
        <w:t xml:space="preserve">.</w:t>
      </w:r>
    </w:p>
    <w:p>
      <w:pPr>
        <w:pStyle w:val="BlockText"/>
      </w:pPr>
      <w:r>
        <w:t xml:space="preserve">$$
    \begin{aligned}
    \E{\paren{X - \mu}^2}
    &amp;= \E{X^2 - 2 \mu X + \mu^2}
    &amp;&amp; \text{(expand the square)}\\
    &amp;= \E{X^2} - 2 \mu \E{X} + \mu^2
    &amp;&amp; \text{(linearity of expectation)}\\
    &amp;= \E{X^2} - 2 \mu \mu + \mu^2
    &amp;&amp; \text{(definition of } \mu \text{)}\\
    &amp;= \E{X^2} - \mu^2
    &amp;&amp; \text{(combine like terms)}
    \end{aligned}
    $$</w:t>
      </w:r>
    </w:p>
    <w:p>
      <w:pPr>
        <w:pStyle w:val="FirstParagraph"/>
      </w:pPr>
      <w:r>
        <w:t xml:space="preserve">In the ❌ version,</w:t>
      </w:r>
      <w:r>
        <w:t xml:space="preserve"> </w:t>
      </w:r>
      <w:r>
        <w:t xml:space="preserve">$\E{X}$</w:t>
      </w:r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54"/>
    <w:bookmarkEnd w:id="55"/>
    <w:bookmarkStart w:id="57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56" w:name="exm-dot-product"/>
    <w:p>
      <w:pPr>
        <w:pStyle w:val="BodyText"/>
      </w:pPr>
      <w:r>
        <w:rPr>
          <w:b/>
          <w:bCs/>
        </w:rPr>
        <w:t xml:space="preserve">Example 21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56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57"/>
    <w:bookmarkStart w:id="60" w:name="writing-out-notational-shorthands"/>
    <w:p>
      <w:pPr>
        <w:pStyle w:val="Heading2"/>
      </w:pPr>
      <w:r>
        <w:t xml:space="preserve">12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59" w:name="exm-notational-shorthand"/>
    <w:p>
      <w:pPr>
        <w:pStyle w:val="BodyText"/>
      </w:pPr>
      <w:r>
        <w:rPr>
          <w:b/>
          <w:bCs/>
        </w:rPr>
        <w:t xml:space="preserve">Example 22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59"/>
    <w:bookmarkEnd w:id="60"/>
    <w:bookmarkStart w:id="62" w:name="stating-assumptions-before-using-them"/>
    <w:p>
      <w:pPr>
        <w:pStyle w:val="Heading2"/>
      </w:pPr>
      <w:r>
        <w:t xml:space="preserve">13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3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a hypothesis of a theorem;</w:t>
      </w:r>
    </w:p>
    <w:p>
      <w:pPr>
        <w:pStyle w:val="Compact"/>
        <w:numPr>
          <w:ilvl w:val="0"/>
          <w:numId w:val="1013"/>
        </w:numPr>
      </w:pPr>
      <w:r>
        <w:t xml:space="preserve">a case split;</w:t>
      </w:r>
    </w:p>
    <w:p>
      <w:pPr>
        <w:pStyle w:val="Compact"/>
        <w:numPr>
          <w:ilvl w:val="0"/>
          <w:numId w:val="1013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bookmarkStart w:id="61" w:name="exm-assumptions-first"/>
    <w:p>
      <w:pPr>
        <w:pStyle w:val="BodyText"/>
      </w:pPr>
      <w:r>
        <w:rPr>
          <w:b/>
          <w:bCs/>
        </w:rPr>
        <w:t xml:space="preserve">Example 23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7" Type="http://schemas.openxmlformats.org/officeDocument/2006/relationships/hyperlink" Target="citations-evidence.qmd#trivial-and-trivially" TargetMode="External"/><Relationship Id="rId39" Type="http://schemas.openxmlformats.org/officeDocument/2006/relationships/hyperlink" Target="defining-terms.qmd#guidelines-for-defining-terms" TargetMode="External"/><Relationship Id="rId34" Type="http://schemas.openxmlformats.org/officeDocument/2006/relationships/hyperlink" Target="https://morrison-lab.github.io/mds/functions.html#def-codomain" TargetMode="External"/><Relationship Id="rId33" Type="http://schemas.openxmlformats.org/officeDocument/2006/relationships/hyperlink" Target="https://morrison-lab.github.io/mds/functions.html#def-domain" TargetMode="External"/><Relationship Id="rId32" Type="http://schemas.openxmlformats.org/officeDocument/2006/relationships/hyperlink" Target="https://morrison-lab.github.io/mds/functions.html#def-function" TargetMode="External"/><Relationship Id="rId58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Relationship Id="rId51" Type="http://schemas.openxmlformats.org/officeDocument/2006/relationships/hyperlink" Target="teaching.qmd#build-every-unit-from-smaller-atomic-units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citations-evidence.qmd#trivial-and-trivially" TargetMode="External"/><Relationship Id="rId39" Type="http://schemas.openxmlformats.org/officeDocument/2006/relationships/hyperlink" Target="defining-terms.qmd#guidelines-for-defining-terms" TargetMode="External"/><Relationship Id="rId34" Type="http://schemas.openxmlformats.org/officeDocument/2006/relationships/hyperlink" Target="https://morrison-lab.github.io/mds/functions.html#def-codomain" TargetMode="External"/><Relationship Id="rId33" Type="http://schemas.openxmlformats.org/officeDocument/2006/relationships/hyperlink" Target="https://morrison-lab.github.io/mds/functions.html#def-domain" TargetMode="External"/><Relationship Id="rId32" Type="http://schemas.openxmlformats.org/officeDocument/2006/relationships/hyperlink" Target="https://morrison-lab.github.io/mds/functions.html#def-function" TargetMode="External"/><Relationship Id="rId58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Relationship Id="rId51" Type="http://schemas.openxmlformats.org/officeDocument/2006/relationships/hyperlink" Target="teaching.qmd#build-every-unit-from-smaller-atomic-uni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2026-10-19T04:57:00Z</dcterms:created>
  <dcterms:modified xsi:type="dcterms:W3CDTF">2026-10-19T04:57:00Z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21:52:19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