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21:46:40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4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 write the notation list first, because the assumptions use the names it introduces.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Start w:id="62" w:name="exm-assumptions-bullet-list"/>
    <w:p>
      <w:pPr>
        <w:pStyle w:val="BodyText"/>
      </w:pPr>
      <w:r>
        <w:rPr>
          <w:b/>
          <w:bCs/>
        </w:rPr>
        <w:t xml:space="preserve">Example 24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  <w:r>
        <w:t xml:space="preserve"> </w:t>
      </w:r>
      <w:r>
        <w:t xml:space="preserve">Assume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2"/>
    <w:bookmarkStart w:id="63" w:name="exm-notation-bullet-list"/>
    <w:p>
      <w:pPr>
        <w:pStyle w:val="BodyText"/>
      </w:pPr>
      <w:r>
        <w:rPr>
          <w:b/>
          <w:bCs/>
        </w:rPr>
        <w:t xml:space="preserve">Example 25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2026-10-19T04:51:24Z</dcterms:created>
  <dcterms:modified xsi:type="dcterms:W3CDTF">2026-10-19T04:51:24Z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