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Slides, posters, and figures</w:t>
        </w:r>
      </w:ins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p>
      <w:pPr>
        <w:pStyle w:val="FirstParagraph"/>
      </w:pPr>
      <w:ins w:id="3" w:author="PR Preview" w:date="2026-01-01T00:00:00Z">
        <w:r>
          <w:t xml:space="preserve">Talks, posters, and figures carry the same research as a paper,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but the reader sees them for less time and cannot reread them.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chapter gives practical rules for each.</w:t>
        </w:r>
      </w:ins>
    </w:p>
    <w:bookmarkStart w:id="9" w:name="sec-slide-deck-guidelines"/>
    <w:p>
      <w:pPr>
        <w:pStyle w:val="Heading2"/>
      </w:pPr>
      <w:ins w:id="8" w:author="PR Preview" w:date="2026-01-01T00:00:00Z">
        <w:r>
          <w:t xml:space="preserve">1 Guidelines for slide decks</w:t>
        </w:r>
      </w:ins>
    </w:p>
    <w:p>
      <w:pPr>
        <w:pStyle w:val="FirstParagraph"/>
      </w:pPr>
      <w:ins w:id="9" w:author="PR Preview" w:date="2026-01-01T00:00:00Z">
        <w:r>
          <w:t xml:space="preserve">When preparing slides for a lab meeting,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conference, qualifying exam, or thesis defense,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follow these guidelines:</w:t>
        </w:r>
      </w:ins>
    </w:p>
    <w:p>
      <w:pPr>
        <w:pStyle w:val="Compact"/>
        <w:numPr>
          <w:ilvl w:val="0"/>
          <w:numId w:val="1001"/>
        </w:numPr>
      </w:pPr>
      <w:ins w:id="14" w:author="PR Preview" w:date="2026-01-01T00:00:00Z">
        <w:r>
          <w:rPr>
            <w:b/>
            <w:bCs/>
          </w:rPr>
          <w:t xml:space="preserve">Always include slide numbers</w:t>
        </w:r>
      </w:ins>
      <w:ins w:id="15" w:author="PR Preview" w:date="2026-01-01T00:00:00Z">
        <w:r>
          <w:t xml:space="preserve">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Slide numbers make feedback specific.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During questions or a practice run,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listeners need to refer back to a slide quickly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(e.g.,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“On slide 14, how was that variable defined?”</w:t>
        </w:r>
      </w:ins>
      <w:ins w:id="26" w:author="PR Preview" w:date="2026-01-01T00:00:00Z">
        <w:r>
          <w:t xml:space="preserve">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instead of describing it or guessing where a topic occurred.</w:t>
        </w:r>
      </w:ins>
    </w:p>
    <w:p>
      <w:pPr>
        <w:pStyle w:val="Compact"/>
        <w:numPr>
          <w:ilvl w:val="0"/>
          <w:numId w:val="1001"/>
        </w:numPr>
      </w:pPr>
      <w:ins w:id="29" w:author="PR Preview" w:date="2026-01-01T00:00:00Z">
        <w:r>
          <w:rPr>
            <w:b/>
            <w:bCs/>
          </w:rPr>
          <w:t xml:space="preserve">Complete, record, and review practice runs</w:t>
        </w:r>
      </w:ins>
      <w:ins w:id="30" w:author="PR Preview" w:date="2026-01-01T00:00:00Z">
        <w:r>
          <w:t xml:space="preserve">: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Before any significant presentation,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rehearse the complete talk out loud,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record the practice run (with screen recording software, a webcam, or your phone),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watch the recording.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recording shows your pacing, timing, filler words, and transitions,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whether slide text and figures stay legible on screen.</w:t>
        </w:r>
      </w:ins>
    </w:p>
    <w:p>
      <w:pPr>
        <w:pStyle w:val="Compact"/>
        <w:numPr>
          <w:ilvl w:val="0"/>
          <w:numId w:val="1001"/>
        </w:numPr>
      </w:pPr>
      <w:ins w:id="43" w:author="PR Preview" w:date="2026-01-01T00:00:00Z">
        <w:r>
          <w:rPr>
            <w:b/>
            <w:bCs/>
          </w:rPr>
          <w:t xml:space="preserve">One main point per slide</w:t>
        </w:r>
      </w:ins>
      <w:ins w:id="44" w:author="PR Preview" w:date="2026-01-01T00:00:00Z">
        <w:r>
          <w:t xml:space="preserve">: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Limit the cognitive load of each slide.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If a slide presents several findings or a complex argument,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split it across consecutive slides so the audience can follow each point.</w:t>
        </w:r>
      </w:ins>
    </w:p>
    <w:p>
      <w:pPr>
        <w:pStyle w:val="Compact"/>
        <w:numPr>
          <w:ilvl w:val="0"/>
          <w:numId w:val="1001"/>
        </w:numPr>
      </w:pPr>
      <w:ins w:id="51" w:author="PR Preview" w:date="2026-01-01T00:00:00Z">
        <w:r>
          <w:rPr>
            <w:b/>
            <w:bCs/>
          </w:rPr>
          <w:t xml:space="preserve">Prefer visual evidence</w:t>
        </w:r>
      </w:ins>
      <w:ins w:id="52" w:author="PR Preview" w:date="2026-01-01T00:00:00Z">
        <w:r>
          <w:t xml:space="preserve">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Audiences cannot read dense paragraphs while listening to a speaker.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Use clean charts, diagrams, and annotated figures instead of text-heavy bullet lists.</w:t>
        </w:r>
      </w:ins>
    </w:p>
    <w:p>
      <w:pPr>
        <w:pStyle w:val="Compact"/>
        <w:numPr>
          <w:ilvl w:val="0"/>
          <w:numId w:val="1001"/>
        </w:numPr>
      </w:pPr>
      <w:ins w:id="57" w:author="PR Preview" w:date="2026-01-01T00:00:00Z">
        <w:r>
          <w:rPr>
            <w:b/>
            <w:bCs/>
          </w:rPr>
          <w:t xml:space="preserve">Ensure high contrast and readability</w:t>
        </w:r>
      </w:ins>
      <w:ins w:id="58" w:author="PR Preview" w:date="2026-01-01T00:00:00Z">
        <w:r>
          <w:t xml:space="preserve">: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Use large fonts and high-contrast colors.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Check that axis labels, legends, and annotations can be read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from the back of a large room or on a low-resolution projector.</w:t>
        </w:r>
      </w:ins>
    </w:p>
    <w:bookmarkEnd w:id="9"/>
    <w:bookmarkStart w:id="12" w:name="sec-presentation-resources"/>
    <w:p>
      <w:pPr>
        <w:pStyle w:val="Heading2"/>
      </w:pPr>
      <w:ins w:id="65" w:author="PR Preview" w:date="2026-01-01T00:00:00Z">
        <w:r>
          <w:t xml:space="preserve">2 Presentation and poster resources</w:t>
        </w:r>
      </w:ins>
    </w:p>
    <w:p>
      <w:pPr>
        <w:pStyle w:val="Compact"/>
        <w:numPr>
          <w:ilvl w:val="0"/>
          <w:numId w:val="1002"/>
        </w:numPr>
      </w:pPr>
      <w:ins w:id="66" w:author="PR Preview" w:date="2026-01-01T00:00:00Z">
        <w:r>
          <w:t xml:space="preserve">How to tell a compelling story in scientific presentations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(Kirchoff 2021)</w:t>
        </w:r>
      </w:ins>
    </w:p>
    <w:p>
      <w:pPr>
        <w:pStyle w:val="Compact"/>
        <w:numPr>
          <w:ilvl w:val="0"/>
          <w:numId w:val="1002"/>
        </w:numPr>
      </w:pPr>
      <w:ins w:id="69" w:author="PR Preview" w:date="2026-01-01T00:00:00Z">
        <w:r>
          <w:t xml:space="preserve">The science of storytelling: the David Attenborough style of scientific presentation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(Ratcliff 2023)</w:t>
        </w:r>
      </w:ins>
    </w:p>
    <w:p>
      <w:pPr>
        <w:pStyle w:val="Compact"/>
        <w:numPr>
          <w:ilvl w:val="0"/>
          <w:numId w:val="1002"/>
        </w:numPr>
      </w:pPr>
      <w:hyperlink r:id="rId10">
        <w:ins w:id="72" w:author="PR Preview" w:date="2026-01-01T00:00:00Z">
          <w:r>
            <w:rPr>
              <w:rStyle w:val="Hyperlink"/>
            </w:rPr>
            <w:t xml:space="preserve">How to create a better research poster in less time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-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Mike Morrison’s video introducing the #betterposter template</w:t>
        </w:r>
      </w:ins>
    </w:p>
    <w:p>
      <w:pPr>
        <w:pStyle w:val="Compact"/>
        <w:numPr>
          <w:ilvl w:val="0"/>
          <w:numId w:val="1002"/>
        </w:numPr>
      </w:pPr>
      <w:hyperlink r:id="rId11">
        <w:ins w:id="77" w:author="PR Preview" w:date="2026-01-01T00:00:00Z">
          <w:r>
            <w:rPr>
              <w:rStyle w:val="Hyperlink"/>
            </w:rPr>
            <w:t xml:space="preserve">Towards an</w:t>
          </w:r>
        </w:ins>
        <w:ins w:id="78" w:author="PR Preview" w:date="2026-01-01T00:00:00Z">
          <w:r>
            <w:rPr>
              <w:rStyle w:val="Hyperlink"/>
            </w:rPr>
            <w:t xml:space="preserve"> </w:t>
          </w:r>
        </w:ins>
        <w:ins w:id="79" w:author="PR Preview" w:date="2026-01-01T00:00:00Z">
          <w:r>
            <w:rPr>
              <w:rStyle w:val="Hyperlink"/>
            </w:rPr>
            <w:t xml:space="preserve">“#evenbetterposter”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-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 MIT Biological Engineering Communication Lab’s improvements to that template</w:t>
        </w:r>
      </w:ins>
    </w:p>
    <w:bookmarkEnd w:id="12"/>
    <w:bookmarkStart w:id="29" w:name="sec-scientific-figures"/>
    <w:p>
      <w:pPr>
        <w:pStyle w:val="Heading2"/>
      </w:pPr>
      <w:ins w:id="84" w:author="PR Preview" w:date="2026-01-01T00:00:00Z">
        <w:r>
          <w:t xml:space="preserve">3 Scientific figures</w:t>
        </w:r>
      </w:ins>
    </w:p>
    <w:p>
      <w:pPr>
        <w:pStyle w:val="FirstParagraph"/>
      </w:pPr>
      <w:ins w:id="85" w:author="PR Preview" w:date="2026-01-01T00:00:00Z">
        <w:r>
          <w:t xml:space="preserve">A clear figure lets a reader check a result without help from the text.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Before you share a figure:</w:t>
        </w:r>
      </w:ins>
    </w:p>
    <w:p>
      <w:pPr>
        <w:pStyle w:val="Compact"/>
        <w:numPr>
          <w:ilvl w:val="0"/>
          <w:numId w:val="1003"/>
        </w:numPr>
      </w:pPr>
      <w:ins w:id="88" w:author="PR Preview" w:date="2026-01-01T00:00:00Z">
        <w:r>
          <w:t xml:space="preserve">Label the x-axis and y-axis clearly.</w:t>
        </w:r>
      </w:ins>
    </w:p>
    <w:p>
      <w:pPr>
        <w:pStyle w:val="Compact"/>
        <w:numPr>
          <w:ilvl w:val="0"/>
          <w:numId w:val="1003"/>
        </w:numPr>
      </w:pPr>
      <w:ins w:id="89" w:author="PR Preview" w:date="2026-01-01T00:00:00Z">
        <w:r>
          <w:t xml:space="preserve">Use panel labels when a figure has several subplots.</w:t>
        </w:r>
      </w:ins>
    </w:p>
    <w:p>
      <w:pPr>
        <w:pStyle w:val="Compact"/>
        <w:numPr>
          <w:ilvl w:val="0"/>
          <w:numId w:val="1003"/>
        </w:numPr>
      </w:pPr>
      <w:ins w:id="90" w:author="PR Preview" w:date="2026-01-01T00:00:00Z">
        <w:r>
          <w:t xml:space="preserve">Include enough tick marks and tick labels.</w:t>
        </w:r>
      </w:ins>
    </w:p>
    <w:p>
      <w:pPr>
        <w:pStyle w:val="Compact"/>
        <w:numPr>
          <w:ilvl w:val="0"/>
          <w:numId w:val="1003"/>
        </w:numPr>
      </w:pPr>
      <w:ins w:id="91" w:author="PR Preview" w:date="2026-01-01T00:00:00Z">
        <w:r>
          <w:t xml:space="preserve">Use font sizes that are easy to read without dominating the plot.</w:t>
        </w:r>
      </w:ins>
    </w:p>
    <w:p>
      <w:pPr>
        <w:pStyle w:val="Compact"/>
        <w:numPr>
          <w:ilvl w:val="0"/>
          <w:numId w:val="1003"/>
        </w:numPr>
      </w:pPr>
      <w:ins w:id="92" w:author="PR Preview" w:date="2026-01-01T00:00:00Z">
        <w:r>
          <w:t xml:space="preserve">Use colorblind-friendly palettes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(see</w:t>
        </w:r>
      </w:ins>
      <w:ins w:id="95" w:author="PR Preview" w:date="2026-01-01T00:00:00Z">
        <w:r>
          <w:t xml:space="preserve"> </w:t>
        </w:r>
      </w:ins>
      <w:hyperlink r:id="rId13">
        <w:ins w:id="96" w:author="PR Preview" w:date="2026-01-01T00:00:00Z">
          <w:r>
            <w:rPr>
              <w:rStyle w:val="Hyperlink"/>
            </w:rPr>
            <w:t xml:space="preserve">ColorBrewer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or</w:t>
        </w:r>
      </w:ins>
      <w:ins w:id="99" w:author="PR Preview" w:date="2026-01-01T00:00:00Z">
        <w:r>
          <w:t xml:space="preserve"> </w:t>
        </w:r>
      </w:ins>
      <w:hyperlink r:id="rId14">
        <w:ins w:id="100" w:author="PR Preview" w:date="2026-01-01T00:00:00Z">
          <w:r>
            <w:rPr>
              <w:rStyle w:val="Hyperlink"/>
            </w:rPr>
            <w:t xml:space="preserve">iwanthue</w:t>
          </w:r>
        </w:ins>
      </w:hyperlink>
      <w:ins w:id="10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102" w:author="PR Preview" w:date="2026-01-01T00:00:00Z">
        <w:r>
          <w:t xml:space="preserve">Define colors, shapes, and line types in a legend.</w:t>
        </w:r>
      </w:ins>
    </w:p>
    <w:p>
      <w:pPr>
        <w:pStyle w:val="Compact"/>
        <w:numPr>
          <w:ilvl w:val="0"/>
          <w:numId w:val="1003"/>
        </w:numPr>
      </w:pPr>
      <w:ins w:id="103" w:author="PR Preview" w:date="2026-01-01T00:00:00Z">
        <w:r>
          <w:t xml:space="preserve">Minimize abbreviations in labels and legends.</w:t>
        </w:r>
      </w:ins>
    </w:p>
    <w:p>
      <w:pPr>
        <w:pStyle w:val="Compact"/>
        <w:numPr>
          <w:ilvl w:val="0"/>
          <w:numId w:val="1003"/>
        </w:numPr>
      </w:pPr>
      <w:ins w:id="104" w:author="PR Preview" w:date="2026-01-01T00:00:00Z">
        <w:r>
          <w:t xml:space="preserve">Use transparency to show overlapping data.</w:t>
        </w:r>
      </w:ins>
    </w:p>
    <w:p>
      <w:pPr>
        <w:pStyle w:val="Compact"/>
        <w:numPr>
          <w:ilvl w:val="0"/>
          <w:numId w:val="1003"/>
        </w:numPr>
      </w:pPr>
      <w:ins w:id="105" w:author="PR Preview" w:date="2026-01-01T00:00:00Z">
        <w:r>
          <w:t xml:space="preserve">Show measures of precision, such as 95% confidence intervals.</w:t>
        </w:r>
      </w:ins>
    </w:p>
    <w:p>
      <w:pPr>
        <w:pStyle w:val="FirstParagraph"/>
      </w:pPr>
      <w:ins w:id="106" w:author="PR Preview" w:date="2026-01-01T00:00:00Z">
        <w:r>
          <w:t xml:space="preserve">For more:</w:t>
        </w:r>
      </w:ins>
    </w:p>
    <w:p>
      <w:pPr>
        <w:pStyle w:val="Compact"/>
        <w:numPr>
          <w:ilvl w:val="0"/>
          <w:numId w:val="1004"/>
        </w:numPr>
      </w:pPr>
      <w:ins w:id="107" w:author="PR Preview" w:date="2026-01-01T00:00:00Z">
        <w:r>
          <w:t xml:space="preserve">Ten Simple Rules for Better Figures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(Rougier et al. 2014)</w:t>
        </w:r>
      </w:ins>
    </w:p>
    <w:p>
      <w:pPr>
        <w:pStyle w:val="Compact"/>
        <w:numPr>
          <w:ilvl w:val="0"/>
          <w:numId w:val="1004"/>
        </w:numPr>
      </w:pPr>
      <w:hyperlink r:id="rId15">
        <w:ins w:id="110" w:author="PR Preview" w:date="2026-01-01T00:00:00Z">
          <w:r>
            <w:rPr>
              <w:rStyle w:val="Hyperlink"/>
            </w:rPr>
            <w:t xml:space="preserve">Tufte CSS</w:t>
          </w:r>
        </w:ins>
      </w:hyperlink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-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style HTML articles like Edward Tufte’s books and handouts,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with sidenotes, typography, and tight integration of graphics with text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ins w:id="117" w:author="PR Preview" w:date="2026-01-01T00:00:00Z">
        <w:r>
          <w:t xml:space="preserve">Kirchoff, Bruce. 2021.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“How to Tell a Compelling Story in Scientific Presentations.”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i/>
            <w:iCs/>
          </w:rPr>
          <w:t xml:space="preserve">Nature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600 (7890): S88–89.</w:t>
        </w:r>
      </w:ins>
      <w:ins w:id="124" w:author="PR Preview" w:date="2026-01-01T00:00:00Z">
        <w:r>
          <w:t xml:space="preserve"> </w:t>
        </w:r>
      </w:ins>
      <w:hyperlink r:id="rId22">
        <w:ins w:id="125" w:author="PR Preview" w:date="2026-01-01T00:00:00Z">
          <w:r>
            <w:rPr>
              <w:rStyle w:val="Hyperlink"/>
            </w:rPr>
            <w:t xml:space="preserve">https://doi.org/10.1038/d41586-021-03603-2</w:t>
          </w:r>
        </w:ins>
      </w:hyperlink>
      <w:ins w:id="126" w:author="PR Preview" w:date="2026-01-01T00:00:00Z">
        <w:r>
          <w:t xml:space="preserve">.</w:t>
        </w:r>
      </w:ins>
    </w:p>
    <w:bookmarkEnd w:id="23"/>
    <w:bookmarkStart w:id="25" w:name="ref-ratcliff2023"/>
    <w:p>
      <w:pPr>
        <w:pStyle w:val="Bibliography"/>
      </w:pPr>
      <w:ins w:id="127" w:author="PR Preview" w:date="2026-01-01T00:00:00Z">
        <w:r>
          <w:t xml:space="preserve">Ratcliff, William C. 2023.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“The Science of Storytelling: The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David Attenborough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Style of Scientific Presentation.”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i/>
            <w:iCs/>
          </w:rPr>
          <w:t xml:space="preserve">Trends in Molecular Medicine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29 (9): 675–77.</w:t>
        </w:r>
      </w:ins>
      <w:ins w:id="138" w:author="PR Preview" w:date="2026-01-01T00:00:00Z">
        <w:r>
          <w:t xml:space="preserve"> </w:t>
        </w:r>
      </w:ins>
      <w:hyperlink r:id="rId24">
        <w:ins w:id="139" w:author="PR Preview" w:date="2026-01-01T00:00:00Z">
          <w:r>
            <w:rPr>
              <w:rStyle w:val="Hyperlink"/>
            </w:rPr>
            <w:t xml:space="preserve">https://doi.org/10.1016/j.molmed.2023.05.002</w:t>
          </w:r>
        </w:ins>
      </w:hyperlink>
      <w:ins w:id="140" w:author="PR Preview" w:date="2026-01-01T00:00:00Z">
        <w:r>
          <w:t xml:space="preserve">.</w:t>
        </w:r>
      </w:ins>
    </w:p>
    <w:bookmarkEnd w:id="25"/>
    <w:bookmarkStart w:id="27" w:name="ref-rougier2014"/>
    <w:p>
      <w:pPr>
        <w:pStyle w:val="Bibliography"/>
      </w:pPr>
      <w:ins w:id="141" w:author="PR Preview" w:date="2026-01-01T00:00:00Z">
        <w:r>
          <w:t xml:space="preserve">Rougier, Nicolas P., Michael Droettboom, and Philip E. Bourne. 2014.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“Ten Simple Rules for Better Figures.”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i/>
            <w:iCs/>
          </w:rPr>
          <w:t xml:space="preserve">PLOS Computational Biology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10 (9): e1003833.</w:t>
        </w:r>
      </w:ins>
      <w:ins w:id="148" w:author="PR Preview" w:date="2026-01-01T00:00:00Z">
        <w:r>
          <w:t xml:space="preserve"> </w:t>
        </w:r>
      </w:ins>
      <w:hyperlink r:id="rId26">
        <w:ins w:id="149" w:author="PR Preview" w:date="2026-01-01T00:00:00Z">
          <w:r>
            <w:rPr>
              <w:rStyle w:val="Hyperlink"/>
            </w:rPr>
            <w:t xml:space="preserve">https://doi.org/10.1371/journal.pcbi.1003833</w:t>
          </w:r>
        </w:ins>
      </w:hyperlink>
      <w:ins w:id="150" w:author="PR Preview" w:date="2026-01-01T00:00:00Z">
        <w:r>
          <w:t xml:space="preserve">.</w:t>
        </w:r>
      </w:ins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2026-10-12T07:01:07Z</dcterms:created>
  <dcterms:modified xsi:type="dcterms:W3CDTF">2026-10-12T07:01:07Z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