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r>
        <w:t xml:space="preserve">Last modified: 2026-10-30 14:51:16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7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encounter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4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</w:t>
      </w:r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21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Y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a</w:t>
      </w:r>
      <w:r>
        <w:t xml:space="preserve"> </w:t>
      </w:r>
      <w:hyperlink r:id="rId2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 at one covariate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instead.</w:t>
      </w:r>
    </w:p>
    <w:bookmarkEnd w:id="21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2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4"/>
    <w:bookmarkStart w:id="26" w:name="Xefe13e73e12914023d8f2c0f69ba86b25ec3c0b"/>
    <w:p>
      <w:pPr>
        <w:pStyle w:val="Heading3"/>
      </w:pPr>
      <w:r>
        <w:t xml:space="preserve">1.7 Write each sentence in words or in math, not both</w:t>
      </w:r>
    </w:p>
    <w:p>
      <w:pPr>
        <w:pStyle w:val="FirstParagraph"/>
      </w:pPr>
      <w:r>
        <w:t xml:space="preserve">A sentence is either entirely in words or entirely in math.</w:t>
      </w:r>
      <w:r>
        <w:t xml:space="preserve"> </w:t>
      </w:r>
      <w:r>
        <w:t xml:space="preserve">A single inline expression inside a word sentence is fine,</w:t>
      </w:r>
      <w:r>
        <w:t xml:space="preserve"> </w:t>
      </w:r>
      <w:r>
        <w:t xml:space="preserve">as in</w:t>
      </w:r>
      <w:r>
        <w:t xml:space="preserve"> </w:t>
      </w:r>
      <w:r>
        <w:t xml:space="preserve">“the prediction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equals the conditional mean”</w:t>
      </w:r>
      <w:r>
        <w:t xml:space="preserve">.</w:t>
      </w:r>
      <w:r>
        <w:t xml:space="preserve"> </w:t>
      </w:r>
      <w:r>
        <w:t xml:space="preserve"> </w:t>
      </w:r>
      <w:r>
        <w:t xml:space="preserve">A sentence that states one condition in words and a second condition as a relation between expressions is a hybrid.</w:t>
      </w:r>
      <w:r>
        <w:t xml:space="preserve"> </w:t>
      </w:r>
      <w:r>
        <w:t xml:space="preserve">Split it into two complete sentences:</w:t>
      </w:r>
      <w:r>
        <w:t xml:space="preserve"> </w:t>
      </w:r>
      <w:r>
        <w:t xml:space="preserve">the first states the result in words, and the second states it as a displayed formula.</w:t>
      </w:r>
    </w:p>
    <w:bookmarkStart w:id="25" w:name="exm-no-hybrid-sentences"/>
    <w:p>
      <w:pPr>
        <w:pStyle w:val="BodyText"/>
      </w:pPr>
      <w:r>
        <w:rPr>
          <w:b/>
          <w:bCs/>
        </w:rPr>
        <w:t xml:space="preserve">Example 4 (Splitting a hybrid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reducible risk is zero if and only 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≠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lockText"/>
      </w:pPr>
      <w:r>
        <w:t xml:space="preserve">✅ The reducible risk is zero if and only if the prediction function differs from the conditional mean with probability 0.</w:t>
      </w:r>
      <w:r>
        <w:t xml:space="preserve"> 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∣</m:t>
                              </m:r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rPr>
                  <m:sty m:val="p"/>
                </m:rPr>
                <m:t>⇔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≠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 ❌ version puts the first condition in words and the second in math.</w:t>
      </w:r>
      <w:r>
        <w:t xml:space="preserve"> </w:t>
      </w:r>
      <w:r>
        <w:t xml:space="preserve">The ✅ version says the result once in words and once in math.</w:t>
      </w:r>
    </w:p>
    <w:bookmarkEnd w:id="25"/>
    <w:bookmarkEnd w:id="26"/>
    <w:bookmarkEnd w:id="27"/>
    <w:bookmarkStart w:id="29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8" w:name="exm-introduce-theorem"/>
    <w:p>
      <w:pPr>
        <w:pStyle w:val="BodyText"/>
      </w:pPr>
      <w:r>
        <w:rPr>
          <w:b/>
          <w:bCs/>
        </w:rPr>
        <w:t xml:space="preserve">Example 5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  <w:r>
        <w:t xml:space="preserve"> 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8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9"/>
    <w:bookmarkStart w:id="32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30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p>
      <w:pPr>
        <w:pStyle w:val="BodyText"/>
      </w:pPr>
      <w:r>
        <w:t xml:space="preserve">A key equation always goes in a display, never inline.</w:t>
      </w:r>
      <w:r>
        <w:t xml:space="preserve"> </w:t>
      </w:r>
      <w:r>
        <w:t xml:space="preserve">A key equation is any of these:</w:t>
      </w:r>
    </w:p>
    <w:p>
      <w:pPr>
        <w:pStyle w:val="Compact"/>
        <w:numPr>
          <w:ilvl w:val="0"/>
          <w:numId w:val="1001"/>
        </w:numPr>
      </w:pPr>
      <w:r>
        <w:t xml:space="preserve">the conclusion of a theorem, lemma, or proposition;</w:t>
      </w:r>
    </w:p>
    <w:p>
      <w:pPr>
        <w:pStyle w:val="Compact"/>
        <w:numPr>
          <w:ilvl w:val="0"/>
          <w:numId w:val="1001"/>
        </w:numPr>
      </w:pPr>
      <w:r>
        <w:t xml:space="preserve">an equation that a proof builds toward;</w:t>
      </w:r>
    </w:p>
    <w:p>
      <w:pPr>
        <w:pStyle w:val="Compact"/>
        <w:numPr>
          <w:ilvl w:val="0"/>
          <w:numId w:val="1001"/>
        </w:numPr>
      </w:pPr>
      <w:r>
        <w:t xml:space="preserve">an equation that a later step refers to.</w:t>
      </w:r>
    </w:p>
    <w:p>
      <w:pPr>
        <w:pStyle w:val="FirstParagraph"/>
      </w:pPr>
      <w:r>
        <w:t xml:space="preserve">In a proof, a sentence such as</w:t>
      </w:r>
      <w:r>
        <w:t xml:space="preserve"> </w:t>
      </w:r>
      <w:r>
        <w:t xml:space="preserve">“so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“this gives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”</w:t>
      </w:r>
      <w:r>
        <w:t xml:space="preserve"> </w:t>
      </w:r>
      <w:r>
        <w:t xml:space="preserve">hides the result in the middle of a line.</w:t>
      </w:r>
      <w:r>
        <w:t xml:space="preserve"> </w:t>
      </w:r>
      <w:r>
        <w:t xml:space="preserve">Put the equation in a display and let the sentence introduce it.</w:t>
      </w:r>
      <w:r>
        <w:t xml:space="preserve"> </w:t>
      </w:r>
      <w:r>
        <w:t xml:space="preserve">Use inline math for symbols and short expressions inside a sentence,</w:t>
      </w:r>
      <w:r>
        <w:t xml:space="preserve"> </w:t>
      </w:r>
      <w:r>
        <w:t xml:space="preserve">not for the equation the reader is meant to remember.</w:t>
      </w:r>
    </w:p>
    <w:bookmarkStart w:id="31" w:name="exm-key-equation-displayed"/>
    <w:p>
      <w:pPr>
        <w:pStyle w:val="BodyText"/>
      </w:pPr>
      <w:r>
        <w:rPr>
          <w:b/>
          <w:bCs/>
        </w:rPr>
        <w:t xml:space="preserve">Example 6 (Displaying the normal equations)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Setting the gradient to zero yields</w:t>
      </w:r>
      <w:r>
        <w:t xml:space="preserve"> </w:t>
      </w:r>
      <m:oMath>
        <m:sSup>
          <m:e>
            <m: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t>D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D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lockText"/>
      </w:pPr>
      <w:r>
        <w:t xml:space="preserve">✅ Setting the gradient to zero yields the normal equations:</w:t>
      </w:r>
    </w:p>
    <w:p>
      <w:pPr>
        <w:pStyle w:val="BlockText"/>
      </w:pPr>
      <m:oMathPara>
        <m:oMathParaPr>
          <m:jc m:val="center"/>
        </m:oMathParaPr>
        <m:oMath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p>
      <w:pPr>
        <w:pStyle w:val="FirstParagraph"/>
      </w:pPr>
      <w:r>
        <w:t xml:space="preserve">In the ❌ version the result sits in the middle of a line, where the reader can miss it.</w:t>
      </w:r>
      <w:r>
        <w:t xml:space="preserve"> </w:t>
      </w:r>
      <w:r>
        <w:t xml:space="preserve">The ✅ version gives it a line of its own.</w:t>
      </w:r>
    </w:p>
    <w:bookmarkEnd w:id="31"/>
    <w:bookmarkEnd w:id="32"/>
    <w:bookmarkStart w:id="33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33"/>
    <w:bookmarkStart w:id="34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34"/>
    <w:bookmarkStart w:id="35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5"/>
    <w:bookmarkStart w:id="36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6"/>
    <w:bookmarkStart w:id="40" w:name="cite-results-not-solutions"/>
    <w:p>
      <w:pPr>
        <w:pStyle w:val="Heading2"/>
      </w:pPr>
      <w:r>
        <w:t xml:space="preserve">8 Cite results, not solutions</w:t>
      </w:r>
    </w:p>
    <w:p>
      <w:pPr>
        <w:pStyle w:val="FirstParagraph"/>
      </w:pPr>
      <w:r>
        <w:t xml:space="preserve">A proof, or any derivation that supports a result, never cites a solution to an exercise.</w:t>
      </w:r>
      <w:r>
        <w:t xml:space="preserve"> </w:t>
      </w:r>
      <w:r>
        <w:t xml:space="preserve">A solution answers an exercise for the reader who attempted the exercise,</w:t>
      </w:r>
      <w:r>
        <w:t xml:space="preserve"> </w:t>
      </w:r>
      <w:r>
        <w:t xml:space="preserve">so the solution is not a result that other arguments can build on.</w:t>
      </w:r>
      <w:r>
        <w:t xml:space="preserve"> </w:t>
      </w:r>
      <w:r>
        <w:t xml:space="preserve">Follow each solution that contains a reusable result with a result div (a theorem, lemma, corollary or proposition) that states the claim.</w:t>
      </w:r>
      <w:r>
        <w:t xml:space="preserve"> </w:t>
      </w:r>
      <w:r>
        <w:t xml:space="preserve">The test is whether the solution contains a result that other arguments could use,</w:t>
      </w:r>
      <w:r>
        <w:t xml:space="preserve"> </w:t>
      </w:r>
      <w:r>
        <w:t xml:space="preserve">not whether any later argument currently relies on it.</w:t>
      </w:r>
      <w:r>
        <w:t xml:space="preserve"> </w:t>
      </w:r>
      <w:r>
        <w:t xml:space="preserve">Cite that result div in every argument that uses the claim.</w:t>
      </w:r>
    </w:p>
    <w:bookmarkStart w:id="37" w:name="exm-cite-results"/>
    <w:p>
      <w:pPr>
        <w:pStyle w:val="BodyText"/>
      </w:pPr>
      <w:r>
        <w:rPr>
          <w:b/>
          <w:bCs/>
        </w:rPr>
        <w:t xml:space="preserve">Example 7 (Citing a result div)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Solution 9 and Solution 10, the claim holds.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Lemma 4 and Lemma 5, the claim holds.</w:t>
      </w:r>
    </w:p>
    <w:p>
      <w:pPr>
        <w:pStyle w:val="FirstParagraph"/>
      </w:pPr>
      <w:r>
        <w:t xml:space="preserve">The ❌ version sends the reader to answers that the notes may reorder, hide or drop.</w:t>
      </w:r>
      <w:r>
        <w:t xml:space="preserve"> </w:t>
      </w:r>
      <w:r>
        <w:t xml:space="preserve">The ✅ version cites claims that the notes state, number and keep.</w:t>
      </w:r>
    </w:p>
    <w:bookmarkEnd w:id="37"/>
    <w:p>
      <w:pPr>
        <w:pStyle w:val="BodyText"/>
      </w:pPr>
      <w:r>
        <w:t xml:space="preserve">Add an exercise and its solution just before every result div that you add or edit.</w:t>
      </w:r>
      <w:r>
        <w:t xml:space="preserve"> </w:t>
      </w:r>
      <w:r>
        <w:t xml:space="preserve">The exercise does not state the result.</w:t>
      </w:r>
      <w:r>
        <w:t xml:space="preserve"> </w:t>
      </w:r>
      <w:r>
        <w:t xml:space="preserve">It asks the student to find the result, such as</w:t>
      </w:r>
      <w:r>
        <w:t xml:space="preserve"> </w:t>
      </w:r>
      <w:r>
        <w:t xml:space="preserve">“find an expression for the spread of a random variable using its first two moments”</w:t>
      </w:r>
      <w:r>
        <w:t xml:space="preserve">,</w:t>
      </w:r>
      <w:r>
        <w:t xml:space="preserve"> </w:t>
      </w:r>
      <w:r>
        <w:t xml:space="preserve">so that the reader discovers the result,</w:t>
      </w:r>
      <w:r>
        <w:t xml:space="preserve"> </w:t>
      </w:r>
      <w:r>
        <w:t xml:space="preserve">and the result div then states what the solution showed.</w:t>
      </w:r>
      <w:r>
        <w:t xml:space="preserve"> </w:t>
      </w:r>
      <w:r>
        <w:t xml:space="preserve">Every later argument cites the result div.</w:t>
      </w:r>
    </w:p>
    <w:p>
      <w:pPr>
        <w:pStyle w:val="BodyText"/>
      </w:pPr>
      <w:r>
        <w:t xml:space="preserve">The one exception to the citation rule follows from that pairing:</w:t>
      </w:r>
      <w:r>
        <w:t xml:space="preserve"> </w:t>
      </w:r>
      <w:r>
        <w:t xml:space="preserve">the proof of the result itself may cite the solution of the exercise that asks for that same result.</w:t>
      </w:r>
      <w:r>
        <w:t xml:space="preserve"> </w:t>
      </w:r>
      <w:r>
        <w:t xml:space="preserve">Such a proof does no derivation of its own: it is the one line</w:t>
      </w:r>
      <w:r>
        <w:t xml:space="preserve"> </w:t>
      </w:r>
      <w:r>
        <w:rPr>
          <w:rStyle w:val="VerbatimChar"/>
        </w:rPr>
        <w:t xml:space="preserve">By @sol-x.</w:t>
      </w:r>
      <w:r>
        <w:t xml:space="preserve">, with one citation.</w:t>
      </w:r>
      <w:r>
        <w:t xml:space="preserve"> </w:t>
      </w:r>
      <w:r>
        <w:t xml:space="preserve">This is the one place where a proof cites a solution.</w:t>
      </w:r>
      <w:r>
        <w:t xml:space="preserve"> </w:t>
      </w:r>
      <w:hyperlink r:id="rId38">
        <w:r>
          <w:rPr>
            <w:rStyle w:val="Hyperlink"/>
          </w:rPr>
          <w:t xml:space="preserve">Derivation format</w:t>
        </w:r>
      </w:hyperlink>
      <w:r>
        <w:t xml:space="preserve"> </w:t>
      </w:r>
      <w:r>
        <w:t xml:space="preserve">describes the exercise, solution, theorem and proof pattern.</w:t>
      </w:r>
      <w:r>
        <w:t xml:space="preserve"> </w:t>
      </w:r>
      <w:r>
        <w:t xml:space="preserve">When the exercise has several parts, the line may cite each part, as in the line</w:t>
      </w:r>
      <w:r>
        <w:t xml:space="preserve"> </w:t>
      </w:r>
      <w:r>
        <w:rPr>
          <w:rStyle w:val="VerbatimChar"/>
        </w:rPr>
        <w:t xml:space="preserve">By @sol-x and @sol-x-part2.</w:t>
      </w:r>
      <w:r>
        <w:t xml:space="preserve">, which ends in a period.</w:t>
      </w:r>
      <w:r>
        <w:t xml:space="preserve"> </w:t>
      </w:r>
      <w:r>
        <w:t xml:space="preserve">A proof with its own steps or display math cites result divs instead.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in</w:t>
      </w:r>
      <w:r>
        <w:t xml:space="preserve"> </w:t>
      </w:r>
      <w:hyperlink r:id="rId39">
        <w:r>
          <w:rPr>
            <w:rStyle w:val="VerbatimChar"/>
          </w:rPr>
          <w:t xml:space="preserve">Morrison-Lab/gha</w:t>
        </w:r>
      </w:hyperlink>
      <w:r>
        <w:t xml:space="preserve"> </w:t>
      </w:r>
      <w:r>
        <w:t xml:space="preserve">flags a</w:t>
      </w:r>
      <w:r>
        <w:t xml:space="preserve"> </w:t>
      </w:r>
      <w:r>
        <w:rPr>
          <w:rStyle w:val="VerbatimChar"/>
        </w:rPr>
        <w:t xml:space="preserve">@sol-</w:t>
      </w:r>
      <w:r>
        <w:t xml:space="preserve"> </w:t>
      </w:r>
      <w:r>
        <w:t xml:space="preserve">cross-reference inside a proof or result div.</w:t>
      </w:r>
      <w:r>
        <w:t xml:space="preserve"> </w:t>
      </w:r>
      <w:r>
        <w:t xml:space="preserve">It lets a one-line proof with one citation pass.</w:t>
      </w:r>
      <w:r>
        <w:t xml:space="preserve"> </w:t>
      </w:r>
      <w:r>
        <w:t xml:space="preserve">For a one-line proof that cites several parts of the paired solution, the HTML comment</w:t>
      </w:r>
      <w:r>
        <w:t xml:space="preserve"> </w:t>
      </w:r>
      <w:r>
        <w:rPr>
          <w:rStyle w:val="VerbatimChar"/>
        </w:rPr>
        <w:t xml:space="preserve">&lt;!-- check-solution-citations: allow --&gt;</w:t>
      </w:r>
      <w:r>
        <w:t xml:space="preserve"> </w:t>
      </w:r>
      <w:r>
        <w:t xml:space="preserve">on that line tells the workflow to skip that line.</w:t>
      </w:r>
      <w:r>
        <w:t xml:space="preserve"> </w:t>
      </w:r>
      <w:r>
        <w:t xml:space="preserve">Quarto removes the comment from the rendered page.</w:t>
      </w:r>
      <w:r>
        <w:t xml:space="preserve"> </w:t>
      </w:r>
      <w:r>
        <w:t xml:space="preserve">The workflow does not check prose outside proof and result divs, but the rule still applies there.</w:t>
      </w:r>
    </w:p>
    <w:bookmarkEnd w:id="40"/>
    <w:bookmarkStart w:id="42" w:name="keep-each-div-minimal-cite-never-inline"/>
    <w:p>
      <w:pPr>
        <w:pStyle w:val="Heading2"/>
      </w:pPr>
      <w:r>
        <w:t xml:space="preserve">9 Keep each div minimal: cite, never inline</w:t>
      </w:r>
    </w:p>
    <w:p>
      <w:pPr>
        <w:pStyle w:val="FirstParagraph"/>
      </w:pPr>
      <w:r>
        <w:t xml:space="preserve">Every result div states one result and every solution div answers one exercise, and each does no more.</w:t>
      </w:r>
      <w:r>
        <w:t xml:space="preserve"> </w:t>
      </w:r>
      <w:r>
        <w:t xml:space="preserve">When a proof or a solution needs a step that a reader could use elsewhere, state that step as its own result div, preceded by its exercise and solution, and cite that result div.</w:t>
      </w:r>
      <w:r>
        <w:t xml:space="preserve"> </w:t>
      </w:r>
      <w:r>
        <w:t xml:space="preserve">Never derive the step inline.</w:t>
      </w:r>
      <w:r>
        <w:t xml:space="preserve"> </w:t>
      </w:r>
      <w:r>
        <w:t xml:space="preserve">A solution decomposes the same way: each solution is the smallest argument that answers its exercise, and it cites result divs for the steps that other arguments also use.</w:t>
      </w:r>
    </w:p>
    <w:bookmarkStart w:id="41" w:name="exm-never-inline"/>
    <w:p>
      <w:pPr>
        <w:pStyle w:val="BodyText"/>
      </w:pPr>
      <w:r>
        <w:rPr>
          <w:b/>
          <w:bCs/>
        </w:rPr>
        <w:t xml:space="preserve">Example 8 (Citing a step instead of deriving it)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the chain rule, the gradient of each summand is</w:t>
      </w:r>
      <w:r>
        <w:t xml:space="preserve"> </w:t>
      </w:r>
      <m:oMath>
        <m:r>
          <m:t>2</m:t>
        </m:r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residual and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the design vector, and summing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gives the claim.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Lemma 4 gives the gradient of each summand,</w:t>
      </w:r>
      <w:r>
        <w:t xml:space="preserve"> </w:t>
      </w:r>
      <w:r>
        <w:t xml:space="preserve">and Lemma 5 says that the gradient of a sum is the sum of the gradients,</w:t>
      </w:r>
      <w:r>
        <w:t xml:space="preserve"> </w:t>
      </w:r>
      <w:r>
        <w:t xml:space="preserve">so the gradient of the total is the sum of</w:t>
      </w:r>
      <w:r>
        <w:t xml:space="preserve"> </w:t>
      </w:r>
      <m:oMath>
        <m:r>
          <m:t>2</m:t>
        </m:r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FirstParagraph"/>
      </w:pPr>
      <w:r>
        <w:t xml:space="preserve">The ❌ proof derives inline the result that Lemma 4 states, so a reader who needs that step elsewhere has nowhere to cite.</w:t>
      </w:r>
    </w:p>
    <w:bookmarkEnd w:id="41"/>
    <w:p>
      <w:pPr>
        <w:pStyle w:val="BodyText"/>
      </w:pPr>
      <w:r>
        <w:t xml:space="preserve">No div repeats reasoning that it could cite instead.</w:t>
      </w:r>
      <w:r>
        <w:t xml:space="preserve"> </w:t>
      </w:r>
      <w:r>
        <w:t xml:space="preserve">Two arguments that share a step cite one result div, so a correction to the step is made once.</w:t>
      </w:r>
    </w:p>
    <w:p>
      <w:pPr>
        <w:pStyle w:val="BodyText"/>
      </w:pPr>
      <w:r>
        <w:t xml:space="preserve">No check can decide whether a step is reusable, so this rule stays a writing rule that review enforces.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covers only the citation of solutions.</w:t>
      </w:r>
    </w:p>
    <w:bookmarkEnd w:id="42"/>
    <w:bookmarkStart w:id="48" w:name="Xd2b1f08161d44443d3d9c5e89d9ddf68e118cc1"/>
    <w:p>
      <w:pPr>
        <w:pStyle w:val="Heading2"/>
      </w:pPr>
      <w:r>
        <w:t xml:space="preserve">10 Use no symbol that the statement does not need</w:t>
      </w:r>
    </w:p>
    <w:p>
      <w:pPr>
        <w:pStyle w:val="FirstParagraph"/>
      </w:pPr>
      <w:r>
        <w:t xml:space="preserve">Halmos advises</w:t>
      </w:r>
      <w:r>
        <w:t xml:space="preserve"> </w:t>
      </w:r>
      <w:r>
        <w:t xml:space="preserve">“avoid the use of irrelevant symbols”</w:t>
      </w:r>
      <w:r>
        <w:t xml:space="preserve"> </w:t>
      </w:r>
      <w:r>
        <w:t xml:space="preserve">and states the rule in its showy form as</w:t>
      </w:r>
      <w:r>
        <w:t xml:space="preserve"> </w:t>
      </w:r>
      <w:r>
        <w:t xml:space="preserve">“use no letter only once”</w:t>
      </w:r>
      <w:r>
        <w:t xml:space="preserve"> </w:t>
      </w:r>
      <w:r>
        <w:t xml:space="preserve">(Halmos 1970, sec. 15)</w:t>
      </w:r>
      <w:r>
        <w:t xml:space="preserve">.</w:t>
      </w:r>
      <w:r>
        <w:t xml:space="preserve"> </w:t>
      </w:r>
      <w:r>
        <w:t xml:space="preserve">A symbol that appears once, in the sentence that introduces it,</w:t>
      </w:r>
      <w:r>
        <w:t xml:space="preserve"> </w:t>
      </w:r>
      <w:r>
        <w:t xml:space="preserve">adds a name for the reader to hold and nothing to use it for.</w:t>
      </w:r>
      <w:r>
        <w:t xml:space="preserve"> </w:t>
      </w:r>
      <w:r>
        <w:t xml:space="preserve">Delete the symbol, or use it in the statement that needs it.</w:t>
      </w:r>
    </w:p>
    <w:bookmarkStart w:id="44" w:name="exm-superfluous-symbol"/>
    <w:p>
      <w:pPr>
        <w:pStyle w:val="BodyText"/>
      </w:pPr>
      <w:r>
        <w:rPr>
          <w:b/>
          <w:bCs/>
        </w:rPr>
        <w:t xml:space="preserve">Example 9 (Deleting a symbol that is named and never used)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Every continuous real-valued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on a compact space is bounded.</w:t>
      </w:r>
    </w:p>
    <w:p>
      <w:pPr>
        <w:pStyle w:val="BlockText"/>
      </w:pPr>
      <w:r>
        <w:t xml:space="preserve">✅ Every continuous real-valued function on a compact space is bounded.</w:t>
      </w:r>
    </w:p>
    <w:p>
      <w:pPr>
        <w:pStyle w:val="FirstParagraph"/>
      </w:pPr>
      <w:r>
        <w:t xml:space="preserve">Nothing in the sentence refers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again,</w:t>
      </w:r>
      <w:r>
        <w:t xml:space="preserve"> </w:t>
      </w:r>
      <w:r>
        <w:t xml:space="preserve">so the symbol contributes nothing to the statement.</w:t>
      </w:r>
      <w:r>
        <w:t xml:space="preserve"> </w:t>
      </w:r>
      <w:r>
        <w:t xml:space="preserve">Halmos gives this sentence as his example</w:t>
      </w:r>
      <w:r>
        <w:t xml:space="preserve"> </w:t>
      </w:r>
      <w:r>
        <w:t xml:space="preserve">(Halmos 1970, sec. 15)</w:t>
      </w:r>
      <w:r>
        <w:t xml:space="preserve">.</w:t>
      </w:r>
    </w:p>
    <w:bookmarkEnd w:id="44"/>
    <w:p>
      <w:pPr>
        <w:pStyle w:val="BodyText"/>
      </w:pPr>
      <w:r>
        <w:t xml:space="preserve">When you apply a displayed relation to a second object, name the relation or restate it, rather than citing its tag.</w:t>
      </w:r>
      <w:r>
        <w:t xml:space="preserve"> </w:t>
      </w:r>
      <w:r>
        <w:t xml:space="preserve">Halmos calls</w:t>
      </w:r>
      <w:r>
        <w:t xml:space="preserve"> </w:t>
      </w:r>
      <w:r>
        <w:t xml:space="preserve">“</w:t>
      </w:r>
      <m:oMath>
        <m:r>
          <m:t>g</m:t>
        </m:r>
      </m:oMath>
      <w:r>
        <w:t xml:space="preserve"> </w:t>
      </w:r>
      <w:r>
        <w:t xml:space="preserve">also satisfies (</w:t>
      </w:r>
      <w:r>
        <w:rPr>
          <w:i/>
          <w:iCs/>
        </w:rPr>
        <w:t xml:space="preserve">)” ”logical and alphabetical nonsense”</w:t>
      </w:r>
      <w:r>
        <w:rPr>
          <w:i/>
          <w:iCs/>
        </w:rPr>
        <w:t xml:space="preserve"> </w:t>
      </w:r>
      <w:r>
        <w:rPr>
          <w:i/>
          <w:iCs/>
        </w:rPr>
        <w:t xml:space="preserve">and advises ”(</w:t>
      </w:r>
      <w:r>
        <w:t xml:space="preserve">) remains satisfied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replaced by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or, better, giving the relation a name</w:t>
      </w:r>
      <w:r>
        <w:t xml:space="preserve"> </w:t>
      </w:r>
      <w:r>
        <w:t xml:space="preserve">(Halmos 1970, sec. 15)</w:t>
      </w:r>
      <w:r>
        <w:t xml:space="preserve">.</w:t>
      </w:r>
      <w:r>
        <w:t xml:space="preserve"> </w:t>
      </w:r>
      <w:r>
        <w:t xml:space="preserve">A named relation also lets the reader find it without hunting for a tag.</w:t>
      </w:r>
    </w:p>
    <w:bookmarkStart w:id="47" w:name="exm-name-the-relation"/>
    <w:p>
      <w:pPr>
        <w:pStyle w:val="BodyText"/>
      </w:pPr>
      <w:r>
        <w:rPr>
          <w:b/>
          <w:bCs/>
        </w:rPr>
        <w:t xml:space="preserve">Example 10 (Naming the relation instead of tagging it)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</w:t>
      </w:r>
      <w:r>
        <w:t xml:space="preserve"> </w:t>
      </w:r>
      <w:hyperlink r:id="rId45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 Equation 3, which says that the estimator’s expected value equals the parameter.</w:t>
      </w:r>
      <w:r>
        <w:t xml:space="preserve"> </w:t>
      </w:r>
      <w:r>
        <w:t xml:space="preserve">The sample</w:t>
      </w:r>
      <w:r>
        <w:t xml:space="preserve"> </w:t>
      </w:r>
      <w:hyperlink r:id="rId4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also satisfies Equation 3.</w:t>
      </w:r>
    </w:p>
    <w:p>
      <w:pPr>
        <w:pStyle w:val="BlockText"/>
      </w:pPr>
      <w:r>
        <w:t xml:space="preserve">✅ The sample mean is an unbiased estimator of the</w:t>
      </w:r>
      <w:r>
        <w:t xml:space="preserve"> </w:t>
      </w:r>
      <w:hyperlink r:id="rId2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mean.</w:t>
      </w:r>
      <w:r>
        <w:t xml:space="preserve"> </w:t>
      </w:r>
      <w:r>
        <w:t xml:space="preserve">The sample variance is an unbiased estimator of the population variance.</w:t>
      </w:r>
    </w:p>
    <w:p>
      <w:pPr>
        <w:pStyle w:val="FirstParagraph"/>
      </w:pPr>
      <w:r>
        <w:t xml:space="preserve">In the ❌ version,</w:t>
      </w:r>
      <w:r>
        <w:t xml:space="preserve"> </w:t>
      </w:r>
      <w:r>
        <w:t xml:space="preserve">“also satisfies Equation 3”</w:t>
      </w:r>
      <w:r>
        <w:t xml:space="preserve"> </w:t>
      </w:r>
      <w:r>
        <w:t xml:space="preserve">is a statement about a different parameter,</w:t>
      </w:r>
      <w:r>
        <w:t xml:space="preserve"> </w:t>
      </w:r>
      <w:r>
        <w:t xml:space="preserve">and the equation says nothing about which parameter.</w:t>
      </w:r>
      <w:r>
        <w:t xml:space="preserve"> </w:t>
      </w:r>
      <w:r>
        <w:t xml:space="preserve">The ✅ version names the property,</w:t>
      </w:r>
      <w:r>
        <w:t xml:space="preserve"> </w:t>
      </w:r>
      <w:r>
        <w:t xml:space="preserve">“unbiased”</w:t>
      </w:r>
      <w:r>
        <w:t xml:space="preserve">,</w:t>
      </w:r>
      <w:r>
        <w:t xml:space="preserve"> </w:t>
      </w:r>
      <w:r>
        <w:t xml:space="preserve">and states each parameter.</w:t>
      </w:r>
    </w:p>
    <w:bookmarkEnd w:id="47"/>
    <w:p>
      <w:pPr>
        <w:pStyle w:val="BodyText"/>
      </w:pPr>
      <w:r>
        <w:t xml:space="preserve">Halmos also says this rule</w:t>
      </w:r>
      <w:r>
        <w:t xml:space="preserve"> </w:t>
      </w:r>
      <w:r>
        <w:t xml:space="preserve">“is sometimes better to break than to obey”</w:t>
      </w:r>
      <w:r>
        <w:t xml:space="preserve">:</w:t>
      </w:r>
      <w:r>
        <w:t xml:space="preserve"> </w:t>
      </w:r>
      <w:r>
        <w:t xml:space="preserve">a symbol that you introduce so that a later sentence in the same paragraph can use it is not superfluous.</w:t>
      </w:r>
      <w:r>
        <w:t xml:space="preserve"> </w:t>
      </w:r>
      <w:r>
        <w:t xml:space="preserve">No check can tell a symbol that a later sentence uses from one that it never uses,</w:t>
      </w:r>
      <w:r>
        <w:t xml:space="preserve"> </w:t>
      </w:r>
      <w:r>
        <w:t xml:space="preserve">because</w:t>
      </w:r>
      <w:r>
        <w:t xml:space="preserve"> </w:t>
      </w:r>
      <w:r>
        <w:t xml:space="preserve">“later”</w:t>
      </w:r>
      <w:r>
        <w:t xml:space="preserve"> </w:t>
      </w:r>
      <w:r>
        <w:t xml:space="preserve">can span pages, so this stays a writing rule that review enforces.</w:t>
      </w:r>
    </w:p>
    <w:bookmarkEnd w:id="48"/>
    <w:bookmarkStart w:id="52" w:name="Xd4c420c794a4d3e47a75832ce6d850be7dcc245"/>
    <w:p>
      <w:pPr>
        <w:pStyle w:val="Heading2"/>
      </w:pPr>
      <w:r>
        <w:t xml:space="preserve">11 Repeat the wording of parallel results, then point out the difference</w:t>
      </w:r>
    </w:p>
    <w:p>
      <w:pPr>
        <w:pStyle w:val="FirstParagraph"/>
      </w:pPr>
      <w:r>
        <w:t xml:space="preserve">When a later result treats a parallel or more general case,</w:t>
      </w:r>
      <w:r>
        <w:t xml:space="preserve"> </w:t>
      </w:r>
      <w:r>
        <w:t xml:space="preserve">Halmos advises that</w:t>
      </w:r>
      <w:r>
        <w:t xml:space="preserve"> </w:t>
      </w:r>
      <w:r>
        <w:t xml:space="preserve">“it is a big help to the reader</w:t>
      </w:r>
      <w:r>
        <w:t xml:space="preserve"> </w:t>
      </w:r>
      <w:r>
        <w:t xml:space="preserve">if you use the same words in the same order for as long as possible,</w:t>
      </w:r>
      <w:r>
        <w:t xml:space="preserve"> </w:t>
      </w:r>
      <w:r>
        <w:t xml:space="preserve">and then, with a proper roll of drums, emphasize the difference”</w:t>
      </w:r>
      <w:r>
        <w:t xml:space="preserve"> </w:t>
      </w:r>
      <w:r>
        <w:t xml:space="preserve">(Halmos 1970, sec. 11)</w:t>
      </w:r>
      <w:r>
        <w:t xml:space="preserve">.</w:t>
      </w:r>
      <w:r>
        <w:t xml:space="preserve"> </w:t>
      </w:r>
      <w:r>
        <w:t xml:space="preserve">He adds that listing the shared conditions and dropping one is not enough;</w:t>
      </w:r>
      <w:r>
        <w:t xml:space="preserve"> </w:t>
      </w:r>
      <w:r>
        <w:t xml:space="preserve">say which condition changed</w:t>
      </w:r>
      <w:r>
        <w:t xml:space="preserve"> </w:t>
      </w:r>
      <w:r>
        <w:t xml:space="preserve">(Halmos 1970, sec. 11)</w:t>
      </w:r>
      <w:r>
        <w:t xml:space="preserve">.</w:t>
      </w:r>
    </w:p>
    <w:bookmarkStart w:id="50" w:name="exm-parallel-wording"/>
    <w:p>
      <w:pPr>
        <w:pStyle w:val="BodyText"/>
      </w:pPr>
      <w:r>
        <w:rPr>
          <w:b/>
          <w:bCs/>
        </w:rPr>
        <w:t xml:space="preserve">Example 11 (Defining the lasso in the words of the ridge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ridge estimate minimizes the</w:t>
      </w:r>
      <w:r>
        <w:t xml:space="preserve"> </w:t>
      </w:r>
      <w:hyperlink r:id="rId4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plus a penalty on the size of the coefficients, which is the sum of their squares.</w:t>
      </w:r>
      <w:r>
        <w:t xml:space="preserve"> </w:t>
      </w:r>
      <w:r>
        <w:t xml:space="preserve">The lasso estimate is the vector of coefficients with the smallest penalized fit, where the penalty adds up the absolute values.</w:t>
      </w:r>
    </w:p>
    <w:p>
      <w:pPr>
        <w:pStyle w:val="BlockText"/>
      </w:pPr>
      <w:r>
        <w:t xml:space="preserve">✅ The ridge estimate minimizes the residual sum of squares plus a penalty equal to the sum of the squared coefficients.</w:t>
      </w:r>
      <w:r>
        <w:t xml:space="preserve"> </w:t>
      </w:r>
      <w:r>
        <w:t xml:space="preserve">The lasso estimate minimizes the residual sum of squares plus a penalty equal to the sum of the absolute values of the coefficients.</w:t>
      </w:r>
      <w:r>
        <w:t xml:space="preserve"> </w:t>
      </w:r>
      <w:r>
        <w:t xml:space="preserve">The two definitions differ only in the penalty.</w:t>
      </w:r>
    </w:p>
    <w:p>
      <w:pPr>
        <w:pStyle w:val="FirstParagraph"/>
      </w:pPr>
      <w:r>
        <w:t xml:space="preserve">The ❌ pair varies every phrase, so the reader must compare them clause by clause to find that only the penalty differs.</w:t>
      </w:r>
      <w:r>
        <w:t xml:space="preserve"> </w:t>
      </w:r>
      <w:r>
        <w:t xml:space="preserve">The ✅ pair repeats the shared words and ends by naming the one change.</w:t>
      </w:r>
    </w:p>
    <w:bookmarkEnd w:id="50"/>
    <w:p>
      <w:pPr>
        <w:pStyle w:val="BodyText"/>
      </w:pPr>
      <w:r>
        <w:t xml:space="preserve">Rewording is for the places where the meaning differs.</w:t>
      </w:r>
      <w:r>
        <w:t xml:space="preserve"> </w:t>
      </w:r>
      <w:r>
        <w:t xml:space="preserve">Do not repeat a result for the sake of repetition;</w:t>
      </w:r>
      <w:r>
        <w:t xml:space="preserve"> </w:t>
      </w:r>
      <w:hyperlink r:id="rId51">
        <w:r>
          <w:rPr>
            <w:rStyle w:val="Hyperlink"/>
          </w:rPr>
          <w:t xml:space="preserve">reuse one written version of each result</w:t>
        </w:r>
      </w:hyperlink>
      <w:r>
        <w:t xml:space="preserve"> </w:t>
      </w:r>
      <w:r>
        <w:t xml:space="preserve">covers that case.</w:t>
      </w:r>
    </w:p>
    <w:p>
      <w:pPr>
        <w:pStyle w:val="BodyText"/>
      </w:pPr>
      <w:r>
        <w:t xml:space="preserve">No check can decide that two results are parallel,</w:t>
      </w:r>
      <w:r>
        <w:t xml:space="preserve"> </w:t>
      </w:r>
      <w:r>
        <w:t xml:space="preserve">so this stays a writing rule that review enforces.</w:t>
      </w:r>
    </w:p>
    <w:bookmarkEnd w:id="52"/>
    <w:bookmarkStart w:id="56" w:name="state-a-theorem-in-one-short-sentence"/>
    <w:p>
      <w:pPr>
        <w:pStyle w:val="Heading2"/>
      </w:pPr>
      <w:r>
        <w:t xml:space="preserve">12 State a theorem in one short sentence</w:t>
      </w:r>
    </w:p>
    <w:p>
      <w:pPr>
        <w:pStyle w:val="FirstParagraph"/>
      </w:pPr>
      <w:r>
        <w:t xml:space="preserve">Halmos advises that</w:t>
      </w:r>
      <w:r>
        <w:t xml:space="preserve"> </w:t>
      </w:r>
      <w:r>
        <w:t xml:space="preserve">“the statement of the theorem should consist of one sentence whenever possible”</w:t>
      </w:r>
      <w:r>
        <w:t xml:space="preserve">,</w:t>
      </w:r>
      <w:r>
        <w:t xml:space="preserve"> </w:t>
      </w:r>
      <w:r>
        <w:t xml:space="preserve">and that the sentence be a short one</w:t>
      </w:r>
      <w:r>
        <w:t xml:space="preserve"> </w:t>
      </w:r>
      <w:r>
        <w:t xml:space="preserve">(Halmos 1970, sec. 10)</w:t>
      </w:r>
      <w:r>
        <w:t xml:space="preserve">.</w:t>
      </w:r>
      <w:r>
        <w:t xml:space="preserve"> </w:t>
      </w:r>
      <w:r>
        <w:t xml:space="preserve">Put the introductory comments, preliminary definitions and motivation before the statement,</w:t>
      </w:r>
      <w:r>
        <w:t xml:space="preserve"> </w:t>
      </w:r>
      <w:r>
        <w:t xml:space="preserve">and the proof after it.</w:t>
      </w:r>
      <w:r>
        <w:t xml:space="preserve"> </w:t>
      </w:r>
      <w:r>
        <w:t xml:space="preserve">Leave asides out of the statement itself.</w:t>
      </w:r>
      <w:r>
        <w:t xml:space="preserve"> </w:t>
      </w:r>
      <w:r>
        <w:t xml:space="preserve">Halmos says that phrases such as</w:t>
      </w:r>
      <w:r>
        <w:t xml:space="preserve"> </w:t>
      </w:r>
      <w:r>
        <w:t xml:space="preserve">“without loss of generality we may assume …”</w:t>
      </w:r>
      <w:r>
        <w:t xml:space="preserve"> </w:t>
      </w:r>
      <w:r>
        <w:t xml:space="preserve">and</w:t>
      </w:r>
      <w:r>
        <w:t xml:space="preserve"> </w:t>
      </w:r>
      <w:r>
        <w:t xml:space="preserve">“moreover it follows from Theorem 1 that …”</w:t>
      </w:r>
      <w:r>
        <w:t xml:space="preserve"> </w:t>
      </w:r>
      <w:r>
        <w:t xml:space="preserve">do not belong in the statement of a theorem</w:t>
      </w:r>
      <w:r>
        <w:t xml:space="preserve"> </w:t>
      </w:r>
      <w:r>
        <w:t xml:space="preserve">(Halmos 1970, sec. 10)</w:t>
      </w:r>
      <w:r>
        <w:t xml:space="preserve">.</w:t>
      </w:r>
      <w:r>
        <w:t xml:space="preserve"> </w:t>
      </w:r>
      <w:r>
        <w:t xml:space="preserve">A reasoning word in a statement (</w:t>
      </w:r>
      <w:r>
        <w:t xml:space="preserve">“so”</w:t>
      </w:r>
      <w:r>
        <w:t xml:space="preserve">,</w:t>
      </w:r>
      <w:r>
        <w:t xml:space="preserve"> </w:t>
      </w:r>
      <w:r>
        <w:t xml:space="preserve">“because”</w:t>
      </w:r>
      <w:r>
        <w:t xml:space="preserve">) is a separate fault,</w:t>
      </w:r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Build every unit from smaller atomic units</w:t>
        </w:r>
      </w:hyperlink>
      <w:r>
        <w:t xml:space="preserve"> </w:t>
      </w:r>
      <w:r>
        <w:t xml:space="preserve">covers it.</w:t>
      </w:r>
    </w:p>
    <w:bookmarkStart w:id="54" w:name="exm-one-sentence-statement"/>
    <w:p>
      <w:pPr>
        <w:pStyle w:val="BodyText"/>
      </w:pPr>
      <w:r>
        <w:rPr>
          <w:b/>
          <w:bCs/>
        </w:rPr>
        <w:t xml:space="preserve">Example 12 (Moving an aside out of a statement)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Without loss of generality, let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Moreover, the sequence converges.</w:t>
      </w:r>
    </w:p>
    <w:p>
      <w:pPr>
        <w:pStyle w:val="BlockText"/>
      </w:pPr>
      <w:r>
        <w:t xml:space="preserve">✅ 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then the sequence converges.</w:t>
      </w:r>
    </w:p>
    <w:p>
      <w:pPr>
        <w:pStyle w:val="FirstParagraph"/>
      </w:pPr>
      <w:r>
        <w:t xml:space="preserve">The ❌ statement is two sentences, and the first one is an aside.</w:t>
      </w:r>
      <w:r>
        <w:t xml:space="preserve"> </w:t>
      </w:r>
      <w:r>
        <w:t xml:space="preserve">The ✅ statement is one implication.</w:t>
      </w:r>
      <w:r>
        <w:t xml:space="preserve"> </w:t>
      </w:r>
      <w:r>
        <w:t xml:space="preserve">If the case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needs the same argument, say so in the proof.</w:t>
      </w:r>
    </w:p>
    <w:bookmarkEnd w:id="54"/>
    <w:p>
      <w:pPr>
        <w:pStyle w:val="BodyText"/>
      </w:pPr>
      <w:r>
        <w:t xml:space="preserve">A statement that lists many hypotheses and many conclusions is too long for one sentence.</w:t>
      </w:r>
      <w:r>
        <w:t xml:space="preserve"> </w:t>
      </w:r>
      <w:r>
        <w:t xml:space="preserve">Halmos says that</w:t>
      </w:r>
      <w:r>
        <w:t xml:space="preserve"> </w:t>
      </w:r>
      <w:r>
        <w:t xml:space="preserve">“a list of eight hypotheses … and a list of six conclusions do not a theorem make;</w:t>
      </w:r>
      <w:r>
        <w:t xml:space="preserve"> </w:t>
      </w:r>
      <w:r>
        <w:t xml:space="preserve">they are a badly expounded theory”</w:t>
      </w:r>
      <w:r>
        <w:t xml:space="preserve">,</w:t>
      </w:r>
      <w:r>
        <w:t xml:space="preserve"> </w:t>
      </w:r>
      <w:r>
        <w:t xml:space="preserve">and that the hypotheses</w:t>
      </w:r>
      <w:r>
        <w:t xml:space="preserve"> </w:t>
      </w:r>
      <w:r>
        <w:t xml:space="preserve">“probably describe a general concept that deserves to be isolated, named, and studied”</w:t>
      </w:r>
      <w:r>
        <w:t xml:space="preserve"> </w:t>
      </w:r>
      <w:r>
        <w:t xml:space="preserve">(Halmos 1970, sec. 10)</w:t>
      </w:r>
      <w:r>
        <w:t xml:space="preserve">.</w:t>
      </w:r>
      <w:r>
        <w:t xml:space="preserve"> </w:t>
      </w:r>
      <w:r>
        <w:t xml:space="preserve">Name the shared concept in its own definition,</w:t>
      </w:r>
      <w:r>
        <w:t xml:space="preserve"> </w:t>
      </w:r>
      <w:r>
        <w:t xml:space="preserve">and state each conclusion as its own result.</w:t>
      </w:r>
    </w:p>
    <w:p>
      <w:pPr>
        <w:pStyle w:val="BodyText"/>
      </w:pPr>
      <w:r>
        <w:t xml:space="preserve">A warn-only check (</w:t>
      </w:r>
      <w:hyperlink r:id="rId55">
        <w:r>
          <w:rPr>
            <w:rStyle w:val="Hyperlink"/>
          </w:rPr>
          <w:t xml:space="preserve">gha#1368</w:t>
        </w:r>
      </w:hyperlink>
      <w:r>
        <w:t xml:space="preserve">) flags</w:t>
      </w:r>
      <w:r>
        <w:t xml:space="preserve"> </w:t>
      </w:r>
      <w:r>
        <w:t xml:space="preserve">“without loss of generality”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“furthermore”</w:t>
      </w:r>
      <w:r>
        <w:t xml:space="preserve"> </w:t>
      </w:r>
      <w:r>
        <w:t xml:space="preserve">on a line that a pull request adds to a theorem statement.</w:t>
      </w:r>
      <w:r>
        <w:t xml:space="preserve"> </w:t>
      </w:r>
      <w:r>
        <w:t xml:space="preserve">No check can measure whether a statement is short or whether its hypotheses form a concept,</w:t>
      </w:r>
      <w:r>
        <w:t xml:space="preserve"> </w:t>
      </w:r>
      <w:r>
        <w:t xml:space="preserve">so the length rule stays a writing rule that review enforces.</w:t>
      </w:r>
    </w:p>
    <w:bookmarkEnd w:id="56"/>
    <w:bookmarkStart w:id="70" w:name="rules-that-other-chapters-cover"/>
    <w:p>
      <w:pPr>
        <w:pStyle w:val="Heading2"/>
      </w:pPr>
      <w:r>
        <w:t xml:space="preserve">13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3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2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57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58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59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60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</w:t>
                  </w:r>
                  <w:r>
                    <w:t xml:space="preserve"> </w:t>
                  </w:r>
                  <w:hyperlink r:id="rId61">
                    <w:r>
                      <w:rPr>
                        <w:rStyle w:val="Hyperlink"/>
                      </w:rPr>
                      <w:t xml:space="preserve">restrictive clause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62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63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64"/>
          <w:p/>
        </w:tc>
      </w:tr>
    </w:tbl>
    <w:bookmarkStart w:id="69" w:name="refs"/>
    <w:bookmarkStart w:id="66" w:name="ref-halmos1970write"/>
    <w:p>
      <w:pPr>
        <w:pStyle w:val="Bibliography"/>
      </w:pPr>
      <w:r>
        <w:t xml:space="preserve">Halmos, Paul R. 1970.</w:t>
      </w:r>
      <w:r>
        <w:t xml:space="preserve"> </w:t>
      </w:r>
      <w:r>
        <w:t xml:space="preserve">“How to Write Mathematics.”</w:t>
      </w:r>
      <w:r>
        <w:t xml:space="preserve"> </w:t>
      </w:r>
      <w:r>
        <w:rPr>
          <w:i/>
          <w:iCs/>
        </w:rPr>
        <w:t xml:space="preserve">L’Enseignement Math</w:t>
      </w:r>
      <w:r>
        <w:rPr>
          <w:i/>
          <w:iCs/>
        </w:rPr>
        <w:t xml:space="preserve">é</w:t>
      </w:r>
      <w:r>
        <w:rPr>
          <w:i/>
          <w:iCs/>
        </w:rPr>
        <w:t xml:space="preserve">matique</w:t>
      </w:r>
      <w:r>
        <w:t xml:space="preserve"> </w:t>
      </w:r>
      <w:r>
        <w:t xml:space="preserve">16.</w:t>
      </w:r>
      <w:r>
        <w:t xml:space="preserve"> </w:t>
      </w:r>
      <w:hyperlink r:id="rId65">
        <w:r>
          <w:rPr>
            <w:rStyle w:val="Hyperlink"/>
          </w:rPr>
          <w:t xml:space="preserve">https://doi.org/10.5169/seals-43857</w:t>
        </w:r>
      </w:hyperlink>
      <w:r>
        <w:t xml:space="preserve">.</w:t>
      </w:r>
    </w:p>
    <w:bookmarkEnd w:id="66"/>
    <w:bookmarkStart w:id="68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67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68"/>
    <w:bookmarkEnd w:id="69"/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63" Target="avoid-cliches.qmd#tone" TargetMode="External" /><Relationship Type="http://schemas.openxmlformats.org/officeDocument/2006/relationships/hyperlink" Id="rId20" Target="defining-terms.qmd#def-population" TargetMode="External" /><Relationship Type="http://schemas.openxmlformats.org/officeDocument/2006/relationships/hyperlink" Id="rId49" Target="defining-terms.qmd#def-rss" TargetMode="External" /><Relationship Type="http://schemas.openxmlformats.org/officeDocument/2006/relationships/hyperlink" Id="rId45" Target="defining-terms.qmd#def-sample-mean" TargetMode="External" /><Relationship Type="http://schemas.openxmlformats.org/officeDocument/2006/relationships/hyperlink" Id="rId19" Target="defining-terms.qmd#def-term" TargetMode="External" /><Relationship Type="http://schemas.openxmlformats.org/officeDocument/2006/relationships/hyperlink" Id="rId46" Target="defining-terms.qmd#def-variance-expression-and-prose" TargetMode="External" /><Relationship Type="http://schemas.openxmlformats.org/officeDocument/2006/relationships/hyperlink" Id="rId23" Target="defining-terms.qmd#guidelines-for-defining-terms" TargetMode="External" /><Relationship Type="http://schemas.openxmlformats.org/officeDocument/2006/relationships/hyperlink" Id="rId38" Target="defining-terms/derivation-format.qmd" TargetMode="External" /><Relationship Type="http://schemas.openxmlformats.org/officeDocument/2006/relationships/hyperlink" Id="rId60" Target="grammar.qmd#avoid-garden-path-sentences" TargetMode="External" /><Relationship Type="http://schemas.openxmlformats.org/officeDocument/2006/relationships/hyperlink" Id="rId61" Target="grammar.qmd#def-restrictive-clause" TargetMode="External" /><Relationship Type="http://schemas.openxmlformats.org/officeDocument/2006/relationships/hyperlink" Id="rId62" Target="grammar.qmd#relative-pronouns" TargetMode="External" /><Relationship Type="http://schemas.openxmlformats.org/officeDocument/2006/relationships/hyperlink" Id="rId65" Target="https://doi.org/10.5169/seals-43857" TargetMode="External" /><Relationship Type="http://schemas.openxmlformats.org/officeDocument/2006/relationships/hyperlink" Id="rId39" Target="https://github.com/Morrison-Lab/gha" TargetMode="External" /><Relationship Type="http://schemas.openxmlformats.org/officeDocument/2006/relationships/hyperlink" Id="rId55" Target="https://github.com/Morrison-Lab/gha/pull/1368" TargetMode="External" /><Relationship Type="http://schemas.openxmlformats.org/officeDocument/2006/relationships/hyperlink" Id="rId67" Target="https://jmlr.csail.mit.edu/reviewing-papers/knuth_mathematical_writing.pdf" TargetMode="External" /><Relationship Type="http://schemas.openxmlformats.org/officeDocument/2006/relationships/hyperlink" Id="rId43" Target="https://morrison-lab.github.io/mds/functions.html#def-function" TargetMode="External" /><Relationship Type="http://schemas.openxmlformats.org/officeDocument/2006/relationships/hyperlink" Id="rId30" Target="https://quarto.org/docs/authoring/cross-references.html#equations" TargetMode="External" /><Relationship Type="http://schemas.openxmlformats.org/officeDocument/2006/relationships/hyperlink" Id="rId58" Target="inclusive-writing.qmd#rewrite-noun-strings-and-hidden-verbs" TargetMode="External" /><Relationship Type="http://schemas.openxmlformats.org/officeDocument/2006/relationships/hyperlink" Id="rId22" Target="notation.qmd#matching-names-and-notation" TargetMode="External" /><Relationship Type="http://schemas.openxmlformats.org/officeDocument/2006/relationships/hyperlink" Id="rId57" Target="notation.qmd#show-why-you-need-a-result-before-you-derive-it" TargetMode="External" /><Relationship Type="http://schemas.openxmlformats.org/officeDocument/2006/relationships/hyperlink" Id="rId53" Target="teaching.qmd#build-every-unit-from-smaller-atomic-units" TargetMode="External" /><Relationship Type="http://schemas.openxmlformats.org/officeDocument/2006/relationships/hyperlink" Id="rId51" Target="teaching.qmd#reuse-one-written-version-of-each-result" TargetMode="External" /><Relationship Type="http://schemas.openxmlformats.org/officeDocument/2006/relationships/hyperlink" Id="rId59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3" Target="avoid-cliches.qmd#tone" TargetMode="External" /><Relationship Type="http://schemas.openxmlformats.org/officeDocument/2006/relationships/hyperlink" Id="rId20" Target="defining-terms.qmd#def-population" TargetMode="External" /><Relationship Type="http://schemas.openxmlformats.org/officeDocument/2006/relationships/hyperlink" Id="rId49" Target="defining-terms.qmd#def-rss" TargetMode="External" /><Relationship Type="http://schemas.openxmlformats.org/officeDocument/2006/relationships/hyperlink" Id="rId45" Target="defining-terms.qmd#def-sample-mean" TargetMode="External" /><Relationship Type="http://schemas.openxmlformats.org/officeDocument/2006/relationships/hyperlink" Id="rId19" Target="defining-terms.qmd#def-term" TargetMode="External" /><Relationship Type="http://schemas.openxmlformats.org/officeDocument/2006/relationships/hyperlink" Id="rId46" Target="defining-terms.qmd#def-variance-expression-and-prose" TargetMode="External" /><Relationship Type="http://schemas.openxmlformats.org/officeDocument/2006/relationships/hyperlink" Id="rId23" Target="defining-terms.qmd#guidelines-for-defining-terms" TargetMode="External" /><Relationship Type="http://schemas.openxmlformats.org/officeDocument/2006/relationships/hyperlink" Id="rId38" Target="defining-terms/derivation-format.qmd" TargetMode="External" /><Relationship Type="http://schemas.openxmlformats.org/officeDocument/2006/relationships/hyperlink" Id="rId60" Target="grammar.qmd#avoid-garden-path-sentences" TargetMode="External" /><Relationship Type="http://schemas.openxmlformats.org/officeDocument/2006/relationships/hyperlink" Id="rId61" Target="grammar.qmd#def-restrictive-clause" TargetMode="External" /><Relationship Type="http://schemas.openxmlformats.org/officeDocument/2006/relationships/hyperlink" Id="rId62" Target="grammar.qmd#relative-pronouns" TargetMode="External" /><Relationship Type="http://schemas.openxmlformats.org/officeDocument/2006/relationships/hyperlink" Id="rId65" Target="https://doi.org/10.5169/seals-43857" TargetMode="External" /><Relationship Type="http://schemas.openxmlformats.org/officeDocument/2006/relationships/hyperlink" Id="rId39" Target="https://github.com/Morrison-Lab/gha" TargetMode="External" /><Relationship Type="http://schemas.openxmlformats.org/officeDocument/2006/relationships/hyperlink" Id="rId55" Target="https://github.com/Morrison-Lab/gha/pull/1368" TargetMode="External" /><Relationship Type="http://schemas.openxmlformats.org/officeDocument/2006/relationships/hyperlink" Id="rId67" Target="https://jmlr.csail.mit.edu/reviewing-papers/knuth_mathematical_writing.pdf" TargetMode="External" /><Relationship Type="http://schemas.openxmlformats.org/officeDocument/2006/relationships/hyperlink" Id="rId43" Target="https://morrison-lab.github.io/mds/functions.html#def-function" TargetMode="External" /><Relationship Type="http://schemas.openxmlformats.org/officeDocument/2006/relationships/hyperlink" Id="rId30" Target="https://quarto.org/docs/authoring/cross-references.html#equations" TargetMode="External" /><Relationship Type="http://schemas.openxmlformats.org/officeDocument/2006/relationships/hyperlink" Id="rId58" Target="inclusive-writing.qmd#rewrite-noun-strings-and-hidden-verbs" TargetMode="External" /><Relationship Type="http://schemas.openxmlformats.org/officeDocument/2006/relationships/hyperlink" Id="rId22" Target="notation.qmd#matching-names-and-notation" TargetMode="External" /><Relationship Type="http://schemas.openxmlformats.org/officeDocument/2006/relationships/hyperlink" Id="rId57" Target="notation.qmd#show-why-you-need-a-result-before-you-derive-it" TargetMode="External" /><Relationship Type="http://schemas.openxmlformats.org/officeDocument/2006/relationships/hyperlink" Id="rId53" Target="teaching.qmd#build-every-unit-from-smaller-atomic-units" TargetMode="External" /><Relationship Type="http://schemas.openxmlformats.org/officeDocument/2006/relationships/hyperlink" Id="rId51" Target="teaching.qmd#reuse-one-written-version-of-each-result" TargetMode="External" /><Relationship Type="http://schemas.openxmlformats.org/officeDocument/2006/relationships/hyperlink" Id="rId59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2026-10-30T21:57:05Z</dcterms:created>
  <dcterms:modified xsi:type="dcterms:W3CDTF">2026-10-30T21:57:05Z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2026-10-30 14:51:16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