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2026-10-11 20:42:52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19" w:name="say-what-it-is-before-what-it-is-not"/>
    <w:p>
      <w:pPr>
        <w:pStyle w:val="Heading2"/>
      </w:pPr>
      <w:r>
        <w:t xml:space="preserve">3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1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1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1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19"/>
    <w:bookmarkStart w:id="25" w:name="clichéd-sentence-shapes"/>
    <w:p>
      <w:pPr>
        <w:pStyle w:val="Heading2"/>
      </w:pPr>
      <w:r>
        <w:t xml:space="preserve">4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2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2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5"/>
    <w:bookmarkStart w:id="26" w:name="formatting-habits"/>
    <w:p>
      <w:pPr>
        <w:pStyle w:val="Heading2"/>
      </w:pPr>
      <w:r>
        <w:t xml:space="preserve">5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6"/>
    <w:bookmarkStart w:id="28" w:name="tone"/>
    <w:p>
      <w:pPr>
        <w:pStyle w:val="Heading2"/>
      </w:pPr>
      <w:r>
        <w:t xml:space="preserve">6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2026-10-12T03:44:38Z</dcterms:created>
  <dcterms:modified xsi:type="dcterms:W3CDTF">2026-10-12T03:44:38Z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