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a later argument relies on with a result div (a theorem, lemma, corollary or proposition) that states the claim,</w:t>
      </w:r>
      <w:r>
        <w:t xml:space="preserve"> </w:t>
      </w:r>
      <w:r>
        <w:t xml:space="preserve">and cite that result div in the later argument.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asks the student to prove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Put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the line that holds the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cross-reference,</w:t>
      </w:r>
      <w:r>
        <w:t xml:space="preserve"> </w:t>
      </w:r>
      <w:r>
        <w:t xml:space="preserve">so that 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can tell this citation from a citation of a solution to a different exercise.</w:t>
      </w:r>
      <w:r>
        <w:t xml:space="preserve"> </w:t>
      </w:r>
      <w:r>
        <w:t xml:space="preserve">The comment is for maintainers: Quarto removes it from the rendered page.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does not check prose outside those divs, but the rule still applies there.</w:t>
      </w:r>
    </w:p>
    <w:bookmarkEnd w:id="34"/>
    <w:bookmarkStart w:id="45" w:name="rules-that-other-chapters-cover"/>
    <w:p>
      <w:pPr>
        <w:pStyle w:val="Heading2"/>
      </w:pPr>
      <w:r>
        <w:t xml:space="preserve">9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2026-10-26T08:23:51Z</dcterms:created>
  <dcterms:modified xsi:type="dcterms:W3CDTF">2026-10-26T08:23:51Z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