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del w:id="1" w:author="PR Preview" w:date="2026-01-01T00:00:00Z">
        <w:r>
          <w:delText xml:space="preserve">Last modified: 2026-10-13 21:04:16 (PDT)</w:delText>
        </w:r>
      </w:del>
    </w:p>
    <w:p>
      <w:pPr>
        <w:pStyle w:val="Date"/>
      </w:pPr>
      <w:ins w:id="2" w:author="PR Preview" w:date="2026-01-01T00:00:00Z">
        <w:r>
          <w:t xml:space="preserve">Last modified: 2026-10-14 01:48:37 (PDT)</w:t>
        </w:r>
      </w:ins>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2"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the active voice (see</w:t>
      </w:r>
      <w:r>
        <w:t xml:space="preserve"> </w:t>
      </w:r>
      <w:hyperlink w:anchor="write-in-the-active-voice">
        <w:r>
          <w:rPr>
            <w:rStyle w:val="Hyperlink"/>
          </w:rPr>
          <w:t xml:space="preserve">Write in the active voice</w:t>
        </w:r>
      </w:hyperlink>
      <w:r>
        <w:t xml:space="preserv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p>
    <w:bookmarkEnd w:id="12"/>
    <w:bookmarkStart w:id="14" w:name="write-in-the-active-voice"/>
    <w:p>
      <w:pPr>
        <w:pStyle w:val="Heading2"/>
      </w:pPr>
      <w:r>
        <w:t xml:space="preserve">2 Write in the active voice</w:t>
      </w:r>
    </w:p>
    <w:p>
      <w:pPr>
        <w:pStyle w:val="FirstParagraph"/>
      </w:pPr>
      <w:r>
        <w:t xml:space="preserve">Use the</w:t>
      </w:r>
      <w:r>
        <w:t xml:space="preserve"> </w:t>
      </w:r>
      <w:hyperlink r:id="rId13">
        <w:r>
          <w:rPr>
            <w:rStyle w:val="Hyperlink"/>
          </w:rPr>
          <w:t xml:space="preserve">active voice</w:t>
        </w:r>
      </w:hyperlink>
      <w:r>
        <w:t xml:space="preserve"> </w:t>
      </w:r>
      <w:r>
        <w:t xml:space="preserve">unless you have a specific reason to use the passive.</w:t>
      </w:r>
      <w:r>
        <w:t xml:space="preserve"> </w:t>
      </w:r>
      <w:r>
        <w:t xml:space="preserve">An active sentence names who did what, and it is usually shorter.</w:t>
      </w:r>
      <w:r>
        <w:t xml:space="preserve"> </w:t>
      </w:r>
      <w:r>
        <w:t xml:space="preserve">A passive sentence can hide the actor, and the reader then has to guess who made the choice.</w:t>
      </w:r>
    </w:p>
    <w:p>
      <w:pPr>
        <w:pStyle w:val="BodyText"/>
      </w:pPr>
      <w:r>
        <w:t xml:space="preserve">Choose the actor by who did the work:</w:t>
      </w:r>
    </w:p>
    <w:p>
      <w:pPr>
        <w:pStyle w:val="Compact"/>
        <w:numPr>
          <w:ilvl w:val="0"/>
          <w:numId w:val="1006"/>
        </w:numPr>
      </w:pPr>
      <w:r>
        <w:t xml:space="preserve">Use</w:t>
      </w:r>
      <w:r>
        <w:t xml:space="preserve"> </w:t>
      </w:r>
      <w:r>
        <w:t xml:space="preserve">“I”</w:t>
      </w:r>
      <w:r>
        <w:t xml:space="preserve"> </w:t>
      </w:r>
      <w:r>
        <w:t xml:space="preserve">for what the author did, such as a choice the author made or a step in the author’s analysis.</w:t>
      </w:r>
      <w:r>
        <w:t xml:space="preserve"> </w:t>
      </w:r>
      <w:r>
        <w:t xml:space="preserve">With several authors, use</w:t>
      </w:r>
      <w:r>
        <w:t xml:space="preserve"> </w:t>
      </w:r>
      <w:r>
        <w:t xml:space="preserve">“we”</w:t>
      </w:r>
      <w:r>
        <w:t xml:space="preserve">.</w:t>
      </w:r>
    </w:p>
    <w:p>
      <w:pPr>
        <w:pStyle w:val="Compact"/>
        <w:numPr>
          <w:ilvl w:val="0"/>
          <w:numId w:val="1006"/>
        </w:numPr>
      </w:pPr>
      <w:r>
        <w:t xml:space="preserve">Use</w:t>
      </w:r>
      <w:r>
        <w:t xml:space="preserve"> </w:t>
      </w:r>
      <w:r>
        <w:t xml:space="preserve">“we”</w:t>
      </w:r>
      <w:r>
        <w:t xml:space="preserve"> </w:t>
      </w:r>
      <w:r>
        <w:t xml:space="preserve">when the author and the reader work through an argument together, as in</w:t>
      </w:r>
      <w:r>
        <w:t xml:space="preserve"> </w:t>
      </w:r>
      <w:r>
        <w:t xml:space="preserve">“we now compute the gradient”</w:t>
      </w:r>
      <w:r>
        <w:t xml:space="preserve">.</w:t>
      </w:r>
    </w:p>
    <w:p>
      <w:pPr>
        <w:pStyle w:val="BlockText"/>
      </w:pPr>
      <w:r>
        <w:t xml:space="preserve">❌ The minimum was found exactly, and the model was chosen by eye.</w:t>
      </w:r>
    </w:p>
    <w:p>
      <w:pPr>
        <w:pStyle w:val="BlockText"/>
      </w:pPr>
      <w:r>
        <w:t xml:space="preserve">✅ We found the minimum exactly, and we chose the model by eye.</w:t>
      </w:r>
      <w:r>
        <w:t xml:space="preserve"> </w:t>
      </w:r>
      <w:r>
        <w:t xml:space="preserve">(The author and reader work through the example together.)</w:t>
      </w:r>
    </w:p>
    <w:p>
      <w:pPr>
        <w:pStyle w:val="BlockText"/>
      </w:pPr>
      <w:r>
        <w:t xml:space="preserve">✅ I chose the model by eye, because the study had five points.</w:t>
      </w:r>
      <w:r>
        <w:t xml:space="preserve"> </w:t>
      </w:r>
      <w:r>
        <w:t xml:space="preserve">(A single author reports a choice.)</w:t>
      </w:r>
    </w:p>
    <w:p>
      <w:pPr>
        <w:pStyle w:val="FirstParagraph"/>
      </w:pPr>
      <w:r>
        <w:t xml:space="preserve">Passive voice is the right choice in a few cases:</w:t>
      </w:r>
    </w:p>
    <w:p>
      <w:pPr>
        <w:pStyle w:val="Compact"/>
        <w:numPr>
          <w:ilvl w:val="0"/>
          <w:numId w:val="1007"/>
        </w:numPr>
      </w:pPr>
      <w:r>
        <w:t xml:space="preserve">The actor is unknown or does not matter, as in</w:t>
      </w:r>
      <w:r>
        <w:t xml:space="preserve"> </w:t>
      </w:r>
      <w:r>
        <w:t xml:space="preserve">“The samples were contaminated.”</w:t>
      </w:r>
    </w:p>
    <w:p>
      <w:pPr>
        <w:pStyle w:val="Compact"/>
        <w:numPr>
          <w:ilvl w:val="0"/>
          <w:numId w:val="1007"/>
        </w:numPr>
      </w:pPr>
      <w:r>
        <w:t xml:space="preserve">The receiver of the action is the topic of the paragraph, and the sentence is easier to follow with it as the subject.</w:t>
      </w:r>
    </w:p>
    <w:p>
      <w:pPr>
        <w:pStyle w:val="Compact"/>
        <w:numPr>
          <w:ilvl w:val="0"/>
          <w:numId w:val="1007"/>
        </w:numPr>
      </w:pPr>
      <w:r>
        <w:t xml:space="preserve">The actor would be a vague</w:t>
      </w:r>
      <w:r>
        <w:t xml:space="preserve"> </w:t>
      </w:r>
      <w:r>
        <w:t xml:space="preserve">“someone”</w:t>
      </w:r>
      <w:r>
        <w:t xml:space="preserve"> </w:t>
      </w:r>
      <w:r>
        <w:t xml:space="preserve">or</w:t>
      </w:r>
      <w:r>
        <w:t xml:space="preserve"> </w:t>
      </w:r>
      <w:r>
        <w:t xml:space="preserve">“one”</w:t>
      </w:r>
      <w:r>
        <w:t xml:space="preserve">, and no real person or group acts.</w:t>
      </w:r>
    </w:p>
    <w:p>
      <w:pPr>
        <w:pStyle w:val="FirstParagraph"/>
      </w:pPr>
      <w:r>
        <w:t xml:space="preserve">When none of these applies, rewrite the sentence with an active verb.</w:t>
      </w:r>
    </w:p>
    <w:bookmarkEnd w:id="14"/>
    <w:bookmarkStart w:id="15" w:name="lead-with-the-subject"/>
    <w:p>
      <w:pPr>
        <w:pStyle w:val="Heading2"/>
      </w:pPr>
      <w:r>
        <w:t xml:space="preserve">3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15"/>
    <w:bookmarkStart w:id="17" w:name="limit-complex-sentence-structures"/>
    <w:p>
      <w:pPr>
        <w:pStyle w:val="Heading2"/>
      </w:pPr>
      <w:r>
        <w:t xml:space="preserve">4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16"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16"/>
    <w:bookmarkEnd w:id="17"/>
    <w:bookmarkStart w:id="19" w:name="X831e99641ea6e3d916f49fb78be48dc576ff061"/>
    <w:p>
      <w:pPr>
        <w:pStyle w:val="Heading2"/>
      </w:pPr>
      <w:r>
        <w:t xml:space="preserve">5 Do not rule out readings no reader would make</w:t>
      </w:r>
    </w:p>
    <w:p>
      <w:pPr>
        <w:pStyle w:val="FirstParagraph"/>
      </w:pPr>
      <w:r>
        <w:t xml:space="preserve">A definition says what a term 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18"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18"/>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19"/>
    <w:bookmarkStart w:id="21" w:name="avoid-double-negatives"/>
    <w:p>
      <w:pPr>
        <w:pStyle w:val="Heading2"/>
      </w:pPr>
      <w:r>
        <w:t xml:space="preserve">6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8"/>
        </w:numPr>
      </w:pPr>
      <w:r>
        <w:t xml:space="preserve">“not uncommon”</w:t>
      </w:r>
    </w:p>
    <w:p>
      <w:pPr>
        <w:pStyle w:val="Compact"/>
        <w:numPr>
          <w:ilvl w:val="0"/>
          <w:numId w:val="1008"/>
        </w:numPr>
      </w:pPr>
      <w:r>
        <w:t xml:space="preserve">“not unlikely”</w:t>
      </w:r>
    </w:p>
    <w:p>
      <w:pPr>
        <w:pStyle w:val="Compact"/>
        <w:numPr>
          <w:ilvl w:val="0"/>
          <w:numId w:val="1008"/>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20"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 hedge</w:t>
      </w:r>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20"/>
    <w:bookmarkEnd w:id="21"/>
    <w:bookmarkStart w:id="24" w:name="Xa757197b9b942a803dc05820332a104a8aaeee4"/>
    <w:p>
      <w:pPr>
        <w:pStyle w:val="Heading2"/>
      </w:pPr>
      <w:r>
        <w:t xml:space="preserve">7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09"/>
        </w:numPr>
      </w:pPr>
      <w:r>
        <w:t xml:space="preserve">announce that a point is coming;</w:t>
      </w:r>
    </w:p>
    <w:p>
      <w:pPr>
        <w:pStyle w:val="Compact"/>
        <w:numPr>
          <w:ilvl w:val="0"/>
          <w:numId w:val="1009"/>
        </w:numPr>
      </w:pPr>
      <w:r>
        <w:t xml:space="preserve">rank a point;</w:t>
      </w:r>
    </w:p>
    <w:p>
      <w:pPr>
        <w:pStyle w:val="Compact"/>
        <w:numPr>
          <w:ilvl w:val="0"/>
          <w:numId w:val="1009"/>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2">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3"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3"/>
    <w:bookmarkEnd w:id="24"/>
    <w:bookmarkStart w:id="31" w:name="put-lists-in-bullet-points"/>
    <w:p>
      <w:pPr>
        <w:pStyle w:val="Heading2"/>
      </w:pPr>
      <w:r>
        <w:t xml:space="preserve">8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one:</w:t>
      </w:r>
    </w:p>
    <w:p>
      <w:pPr>
        <w:pStyle w:val="Compact"/>
        <w:numPr>
          <w:ilvl w:val="0"/>
          <w:numId w:val="1010"/>
        </w:numPr>
      </w:pPr>
      <w:r>
        <w:t xml:space="preserve">Keep the items grammatically parallel,</w:t>
      </w:r>
      <w:r>
        <w:t xml:space="preserve"> </w:t>
      </w:r>
      <w:r>
        <w:t xml:space="preserve">so each one completes the introducing sentence the same way.</w:t>
      </w:r>
    </w:p>
    <w:p>
      <w:pPr>
        <w:pStyle w:val="Compact"/>
        <w:numPr>
          <w:ilvl w:val="0"/>
          <w:numId w:val="1010"/>
        </w:numPr>
      </w:pPr>
      <w:r>
        <w:t xml:space="preserve">Leave a blank line before the list;</w:t>
      </w:r>
      <w:r>
        <w:t xml:space="preserve"> </w:t>
      </w:r>
      <w:r>
        <w:t xml:space="preserve">without it, Markdown reads the list as part of the paragraph above.</w:t>
      </w:r>
    </w:p>
    <w:p>
      <w:pPr>
        <w:pStyle w:val="Compact"/>
        <w:numPr>
          <w:ilvl w:val="0"/>
          <w:numId w:val="1010"/>
        </w:numPr>
      </w:pPr>
      <w:r>
        <w:t xml:space="preserve">Keep a short series of single words inline,</w:t>
      </w:r>
      <w:r>
        <w:t xml:space="preserve"> </w:t>
      </w:r>
      <w:r>
        <w:t xml:space="preserve">such as</w:t>
      </w:r>
      <w:r>
        <w:t xml:space="preserve"> </w:t>
      </w:r>
      <w:r>
        <w:t xml:space="preserve">“R, Julia, or Python”</w:t>
      </w:r>
      <w:r>
        <w:t xml:space="preserve">.</w:t>
      </w:r>
    </w:p>
    <w:bookmarkStart w:id="25" w:name="exm-bullet-lists"/>
    <w:p>
      <w:pPr>
        <w:pStyle w:val="FirstParagraph"/>
      </w:pPr>
      <w:r>
        <w:rPr>
          <w:b/>
          <w:bCs/>
        </w:rPr>
        <w:t xml:space="preserve">Example 5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11"/>
        </w:numPr>
      </w:pPr>
      <w:r>
        <w:t xml:space="preserve">data to learn from;</w:t>
      </w:r>
    </w:p>
    <w:p>
      <w:pPr>
        <w:pStyle w:val="Compact"/>
        <w:numPr>
          <w:ilvl w:val="0"/>
          <w:numId w:val="1011"/>
        </w:numPr>
      </w:pPr>
      <w:r>
        <w:t xml:space="preserve">statistics to say what a finite sample of data supports;</w:t>
      </w:r>
    </w:p>
    <w:p>
      <w:pPr>
        <w:pStyle w:val="Compact"/>
        <w:numPr>
          <w:ilvl w:val="0"/>
          <w:numId w:val="1011"/>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25"/>
    <w:bookmarkStart w:id="29" w:name="exm-resource-lists"/>
    <w:p>
      <w:pPr>
        <w:pStyle w:val="BodyText"/>
      </w:pPr>
      <w:r>
        <w:rPr>
          <w:b/>
          <w:bCs/>
        </w:rPr>
        <w:t xml:space="preserve">Example 6 (Turning a run of resource sentences into bullet points)</w:t>
      </w:r>
      <w:r>
        <w:t xml:space="preserve"> </w:t>
      </w:r>
      <w:r>
        <w:t xml:space="preserve"> </w:t>
      </w:r>
    </w:p>
    <w:p>
      <w:pPr>
        <w:pStyle w:val="BlockText"/>
      </w:pPr>
      <w:r>
        <w:t xml:space="preserve">❌ Hastie and Tibshirani</w:t>
      </w:r>
      <w:r>
        <w:t xml:space="preserve"> </w:t>
      </w:r>
      <w:hyperlink r:id="rId26">
        <w:r>
          <w:rPr>
            <w:rStyle w:val="Hyperlink"/>
          </w:rPr>
          <w:t xml:space="preserve">extend least squares to several predictors</w:t>
        </w:r>
      </w:hyperlink>
      <w:r>
        <w:t xml:space="preserve">. Starmer explains</w:t>
      </w:r>
      <w:r>
        <w:t xml:space="preserve"> </w:t>
      </w:r>
      <w:hyperlink r:id="rId27">
        <w:r>
          <w:rPr>
            <w:rStyle w:val="Hyperlink"/>
          </w:rPr>
          <w:t xml:space="preserve">multiple regression</w:t>
        </w:r>
      </w:hyperlink>
      <w:r>
        <w:t xml:space="preserve">.</w:t>
      </w:r>
    </w:p>
    <w:p>
      <w:pPr>
        <w:pStyle w:val="BlockText"/>
      </w:pPr>
      <w:r>
        <w:t xml:space="preserve">✅ Videos:</w:t>
      </w:r>
    </w:p>
    <w:p>
      <w:pPr>
        <w:pStyle w:val="Compact"/>
        <w:numPr>
          <w:ilvl w:val="0"/>
          <w:numId w:val="1012"/>
        </w:numPr>
      </w:pPr>
      <w:r>
        <w:t xml:space="preserve">Hastie and Tibshirani</w:t>
      </w:r>
      <w:r>
        <w:t xml:space="preserve"> </w:t>
      </w:r>
      <w:hyperlink r:id="rId26">
        <w:r>
          <w:rPr>
            <w:rStyle w:val="Hyperlink"/>
          </w:rPr>
          <w:t xml:space="preserve">extend least squares to several predictors</w:t>
        </w:r>
      </w:hyperlink>
      <w:r>
        <w:t xml:space="preserve">.</w:t>
      </w:r>
    </w:p>
    <w:p>
      <w:pPr>
        <w:pStyle w:val="Compact"/>
        <w:numPr>
          <w:ilvl w:val="0"/>
          <w:numId w:val="1012"/>
        </w:numPr>
      </w:pPr>
      <w:r>
        <w:t xml:space="preserve">Starmer explains</w:t>
      </w:r>
      <w:r>
        <w:t xml:space="preserve"> </w:t>
      </w:r>
      <w:hyperlink r:id="rId27">
        <w:r>
          <w:rPr>
            <w:rStyle w:val="Hyperlink"/>
          </w:rPr>
          <w:t xml:space="preserve">multiple regression</w:t>
        </w:r>
      </w:hyperlink>
      <w:r>
        <w:t xml:space="preserve">.</w:t>
      </w:r>
    </w:p>
    <w:p>
      <w:pPr>
        <w:pStyle w:val="FirstParagraph"/>
      </w:pPr>
      <w:r>
        <w:t xml:space="preserve">This example is adapted from video notes in the DATA 571 chapter on</w:t>
      </w:r>
      <w:r>
        <w:t xml:space="preserve"> </w:t>
      </w:r>
      <w:hyperlink r:id="rId28">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29"/>
    <w:bookmarkStart w:id="30" w:name="exm-numbered-lists"/>
    <w:p>
      <w:pPr>
        <w:pStyle w:val="BodyText"/>
      </w:pPr>
      <w:r>
        <w:rPr>
          <w:b/>
          <w:bCs/>
        </w:rPr>
        <w:t xml:space="preserve">Example 7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3"/>
        </w:numPr>
      </w:pPr>
      <w:r>
        <w:t xml:space="preserve">assign each point to its nearest center;</w:t>
      </w:r>
    </w:p>
    <w:p>
      <w:pPr>
        <w:pStyle w:val="Compact"/>
        <w:numPr>
          <w:ilvl w:val="0"/>
          <w:numId w:val="1013"/>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30"/>
    <w:bookmarkEnd w:id="31"/>
    <w:bookmarkStart w:id="37" w:name="examples-of-concise-writing"/>
    <w:p>
      <w:pPr>
        <w:pStyle w:val="Heading2"/>
      </w:pPr>
      <w:r>
        <w:t xml:space="preserve">9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36" w:name="refs"/>
    <w:bookmarkStart w:id="33"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32">
        <w:r>
          <w:rPr>
            <w:rStyle w:val="Hyperlink"/>
          </w:rPr>
          <w:t xml:space="preserve">https://en.wikipedia.org/wiki/Ernest_Hemingway#Writing_style</w:t>
        </w:r>
      </w:hyperlink>
      <w:r>
        <w:t xml:space="preserve">.</w:t>
      </w:r>
    </w:p>
    <w:bookmarkEnd w:id="33"/>
    <w:bookmarkStart w:id="35"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34">
        <w:r>
          <w:rPr>
            <w:rStyle w:val="Hyperlink"/>
          </w:rPr>
          <w:t xml:space="preserve">https://en.wikipedia.org/wiki/Julius_Caesar#Literary_works</w:t>
        </w:r>
      </w:hyperlink>
      <w:r>
        <w:t xml:space="preserve">.</w:t>
      </w:r>
    </w:p>
    <w:bookmarkEnd w:id="35"/>
    <w:bookmarkEnd w:id="36"/>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image" Target="media/rId9.png"/><Relationship Id="rId22" Type="http://schemas.openxmlformats.org/officeDocument/2006/relationships/hyperlink" Target="avoid-cliches.qmd#rhetorical-reflexes" TargetMode="External"/><Relationship Id="rId13" Type="http://schemas.openxmlformats.org/officeDocument/2006/relationships/hyperlink" Target="defining-terms.qmd#def-active-voice" TargetMode="External"/><Relationship Id="rId32" Type="http://schemas.openxmlformats.org/officeDocument/2006/relationships/hyperlink" Target="https://en.wikipedia.org/wiki/Ernest_Hemingway#Writing_style" TargetMode="External"/><Relationship Id="rId34" Type="http://schemas.openxmlformats.org/officeDocument/2006/relationships/hyperlink" Target="https://en.wikipedia.org/wiki/Julius_Caesar#Literary_works" TargetMode="External"/><Relationship Id="rId28" Type="http://schemas.openxmlformats.org/officeDocument/2006/relationships/hyperlink" Target="https://morrison-lab.github.io/lds/chapters/linear-regression.html" TargetMode="External"/><Relationship Id="rId26" Type="http://schemas.openxmlformats.org/officeDocument/2006/relationships/hyperlink" Target="https://www.youtube.com/watch?v=o9hoLdylWKo" TargetMode="External"/><Relationship Id="rId27" Type="http://schemas.openxmlformats.org/officeDocument/2006/relationships/hyperlink" Target="https://www.youtube.com/watch?v=zITIFTsivN8" TargetMode="External"/></Relationships>
</file>

<file path=word/_rels/footnotes.xml.rels><?xml version='1.0' encoding='UTF-8' standalone='yes'?>
<Relationships xmlns="http://schemas.openxmlformats.org/package/2006/relationships"><Relationship Id="rId22" Type="http://schemas.openxmlformats.org/officeDocument/2006/relationships/hyperlink" Target="avoid-cliches.qmd#rhetorical-reflexes" TargetMode="External"/><Relationship Id="rId13" Type="http://schemas.openxmlformats.org/officeDocument/2006/relationships/hyperlink" Target="defining-terms.qmd#def-active-voice" TargetMode="External"/><Relationship Id="rId32" Type="http://schemas.openxmlformats.org/officeDocument/2006/relationships/hyperlink" Target="https://en.wikipedia.org/wiki/Ernest_Hemingway#Writing_style" TargetMode="External"/><Relationship Id="rId34" Type="http://schemas.openxmlformats.org/officeDocument/2006/relationships/hyperlink" Target="https://en.wikipedia.org/wiki/Julius_Caesar#Literary_works" TargetMode="External"/><Relationship Id="rId28" Type="http://schemas.openxmlformats.org/officeDocument/2006/relationships/hyperlink" Target="https://morrison-lab.github.io/lds/chapters/linear-regression.html" TargetMode="External"/><Relationship Id="rId26" Type="http://schemas.openxmlformats.org/officeDocument/2006/relationships/hyperlink" Target="https://www.youtube.com/watch?v=o9hoLdylWKo" TargetMode="External"/><Relationship Id="rId27" Type="http://schemas.openxmlformats.org/officeDocument/2006/relationships/hyperlink" Target="https://www.youtube.com/watch?v=zITIFTsivN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2026-10-14T08:50:42Z</dcterms:created>
  <dcterms:modified xsi:type="dcterms:W3CDTF">2026-10-14T08:50:42Z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2026-10-14 01:48:37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