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Avoiding clichés</w:t>
        </w:r>
      </w:ins>
    </w:p>
    <w:p>
      <w:pPr>
        <w:pStyle w:val="Date"/>
      </w:pPr>
      <w:ins w:id="2" w:author="PR Preview" w:date="2026-01-01T00:00:00Z">
        <w:r>
          <w:t xml:space="preserve">Last modified: 2026-10-12 14:46:54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ins w:id="3" w:author="PR Preview" w:date="2026-01-01T00:00:00Z">
        <w:r>
          <w:t xml:space="preserve">A cliché is a word, phrase, sentence shape, or formatting habit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that a writer uses by reflex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rather than choosing it for the sentence at hand.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Clichés recur across unrelated documents,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so they make writing read as generic and unconsidered,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even when the underlying content is sound.</w:t>
        </w:r>
      </w:ins>
    </w:p>
    <w:p>
      <w:pPr>
        <w:pStyle w:val="BodyText"/>
      </w:pPr>
      <w:ins w:id="14" w:author="PR Preview" w:date="2026-01-01T00:00:00Z">
        <w:r>
          <w:t xml:space="preserve">AI writing assistants often produce these patterns in clusters,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and many readers have learned to treat them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as signs that a draft was generated,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often called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“AI tells”</w:t>
        </w:r>
      </w:ins>
      <w:ins w:id="23" w:author="PR Preview" w:date="2026-01-01T00:00:00Z">
        <w:r>
          <w:t xml:space="preserve">,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and start to doubt that the author checked it.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Human drafts use the same patterns,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so this chapter is for any writer,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including anyone editing a draft that an assistant helped write.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It catalogs the most common clichés so you can remove them.</w:t>
        </w:r>
      </w:ins>
    </w:p>
    <w:p>
      <w:pPr>
        <w:pStyle w:val="BodyText"/>
      </w:pPr>
      <w:ins w:id="34" w:author="PR Preview" w:date="2026-01-01T00:00:00Z">
        <w:r>
          <w:t xml:space="preserve">One caveat first: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no single word or pattern below is wrong on its own.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Each has legitimate uses.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The signal is clustering and mechanical repetition,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the same constructions appearing again and again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regardless of what the sentence needs.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Edit for the cluster, not the isolated instance,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and do not flatten your prose into a voiceless register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trying to avoid every word on a list.</w:t>
        </w:r>
      </w:ins>
    </w:p>
    <w:bookmarkStart w:id="14" w:name="overused-vocabulary"/>
    <w:p>
      <w:pPr>
        <w:pStyle w:val="Heading2"/>
      </w:pPr>
      <w:ins w:id="51" w:author="PR Preview" w:date="2026-01-01T00:00:00Z">
        <w:r>
          <w:t xml:space="preserve">1 Overused vocabulary</w:t>
        </w:r>
      </w:ins>
    </w:p>
    <w:p>
      <w:pPr>
        <w:pStyle w:val="FirstParagraph"/>
      </w:pPr>
      <w:ins w:id="52" w:author="PR Preview" w:date="2026-01-01T00:00:00Z">
        <w:r>
          <w:t xml:space="preserve">Some words turn up in stock prose,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and in machine-generated text especially,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more often than the sentence needs them.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Many are also Latin-derived words with plainer alternatives,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so the advice here overlaps with the</w:t>
        </w:r>
      </w:ins>
      <w:ins w:id="61" w:author="PR Preview" w:date="2026-01-01T00:00:00Z">
        <w:r>
          <w:t xml:space="preserve"> </w:t>
        </w:r>
      </w:ins>
      <w:hyperlink r:id="rId12">
        <w:ins w:id="62" w:author="PR Preview" w:date="2026-01-01T00:00:00Z">
          <w:r>
            <w:rPr>
              <w:rStyle w:val="Hyperlink"/>
            </w:rPr>
            <w:t xml:space="preserve">Word choice</w:t>
          </w:r>
        </w:ins>
      </w:hyperlink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chapter.</w:t>
        </w:r>
      </w:ins>
      <w:ins w:id="65" w:author="PR Preview" w:date="2026-01-01T00:00:00Z">
        <w:r>
          <w:t xml:space="preserve"> </w:t>
        </w:r>
      </w:ins>
      <w:hyperlink w:anchor="tbl-overused-vocabulary">
        <w:ins w:id="66" w:author="PR Preview" w:date="2026-01-01T00:00:00Z">
          <w:r>
            <w:rPr>
              <w:rStyle w:val="Hyperlink"/>
            </w:rPr>
            <w:t xml:space="preserve">Table 1</w:t>
          </w:r>
        </w:ins>
      </w:hyperlink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lists frequent offenders and plainer replacements.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ins w:id="69" w:author="PR Preview" w:date="2026-01-01T00:00:00Z">
        <w:r>
          <w:t xml:space="preserve">Whole phrases recur too.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“In today’s fast-paced world”</w:t>
        </w:r>
      </w:ins>
      <w:ins w:id="72" w:author="PR Preview" w:date="2026-01-01T00:00:00Z">
        <w:r>
          <w:t xml:space="preserve">,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“it is important to note that”</w:t>
        </w:r>
      </w:ins>
      <w:ins w:id="75" w:author="PR Preview" w:date="2026-01-01T00:00:00Z">
        <w:r>
          <w:t xml:space="preserve">,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and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“plays a vital role in”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add length without content;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delete them and start with the actual point.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Two more families recur, and each member should give way to the literal claim:</w:t>
        </w:r>
      </w:ins>
    </w:p>
    <w:p>
      <w:pPr>
        <w:pStyle w:val="Compact"/>
        <w:numPr>
          <w:ilvl w:val="0"/>
          <w:numId w:val="1001"/>
        </w:numPr>
      </w:pPr>
      <w:ins w:id="86" w:author="PR Preview" w:date="2026-01-01T00:00:00Z">
        <w:r>
          <w:rPr>
            <w:b/>
            <w:bCs/>
          </w:rPr>
          <w:t xml:space="preserve">Stock metaphors:</w:t>
        </w:r>
      </w:ins>
    </w:p>
    <w:p>
      <w:pPr>
        <w:pStyle w:val="Compact"/>
        <w:numPr>
          <w:ilvl w:val="1"/>
          <w:numId w:val="1002"/>
        </w:numPr>
      </w:pPr>
      <w:ins w:id="87" w:author="PR Preview" w:date="2026-01-01T00:00:00Z">
        <w:r>
          <w:t xml:space="preserve">“journey”</w:t>
        </w:r>
      </w:ins>
    </w:p>
    <w:p>
      <w:pPr>
        <w:pStyle w:val="Compact"/>
        <w:numPr>
          <w:ilvl w:val="1"/>
          <w:numId w:val="1002"/>
        </w:numPr>
      </w:pPr>
      <w:ins w:id="88" w:author="PR Preview" w:date="2026-01-01T00:00:00Z">
        <w:r>
          <w:t xml:space="preserve">“pave the way”</w:t>
        </w:r>
      </w:ins>
    </w:p>
    <w:p>
      <w:pPr>
        <w:pStyle w:val="Compact"/>
        <w:numPr>
          <w:ilvl w:val="1"/>
          <w:numId w:val="1002"/>
        </w:numPr>
      </w:pPr>
      <w:ins w:id="89" w:author="PR Preview" w:date="2026-01-01T00:00:00Z">
        <w:r>
          <w:t xml:space="preserve">“shed light on”</w:t>
        </w:r>
      </w:ins>
    </w:p>
    <w:p>
      <w:pPr>
        <w:pStyle w:val="Compact"/>
        <w:numPr>
          <w:ilvl w:val="1"/>
          <w:numId w:val="1002"/>
        </w:numPr>
      </w:pPr>
      <w:ins w:id="90" w:author="PR Preview" w:date="2026-01-01T00:00:00Z">
        <w:r>
          <w:t xml:space="preserve">“at the heart of”</w:t>
        </w:r>
      </w:ins>
    </w:p>
    <w:p>
      <w:pPr>
        <w:pStyle w:val="Compact"/>
        <w:numPr>
          <w:ilvl w:val="1"/>
          <w:numId w:val="1002"/>
        </w:numPr>
      </w:pPr>
      <w:ins w:id="91" w:author="PR Preview" w:date="2026-01-01T00:00:00Z">
        <w:r>
          <w:t xml:space="preserve">“sits at the intersection of”</w:t>
        </w:r>
      </w:ins>
    </w:p>
    <w:p>
      <w:pPr>
        <w:pStyle w:val="Compact"/>
        <w:numPr>
          <w:ilvl w:val="1"/>
          <w:numId w:val="1002"/>
        </w:numPr>
      </w:pPr>
      <w:ins w:id="92" w:author="PR Preview" w:date="2026-01-01T00:00:00Z">
        <w:r>
          <w:t xml:space="preserve">“cornerstone”</w:t>
        </w:r>
      </w:ins>
    </w:p>
    <w:p>
      <w:pPr>
        <w:pStyle w:val="Compact"/>
        <w:numPr>
          <w:ilvl w:val="1"/>
          <w:numId w:val="1002"/>
        </w:numPr>
      </w:pPr>
      <w:ins w:id="93" w:author="PR Preview" w:date="2026-01-01T00:00:00Z">
        <w:r>
          <w:t xml:space="preserve">“deep dive”</w:t>
        </w:r>
      </w:ins>
      <w:ins w:id="94" w:author="PR Preview" w:date="2026-01-01T00:00:00Z">
        <w:r>
          <w:t xml:space="preserve">,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“dive into”</w:t>
        </w:r>
      </w:ins>
    </w:p>
    <w:p>
      <w:pPr>
        <w:pStyle w:val="Compact"/>
        <w:numPr>
          <w:ilvl w:val="0"/>
          <w:numId w:val="1001"/>
        </w:numPr>
      </w:pPr>
      <w:ins w:id="97" w:author="PR Preview" w:date="2026-01-01T00:00:00Z">
        <w:r>
          <w:rPr>
            <w:b/>
            <w:bCs/>
          </w:rPr>
          <w:t xml:space="preserve">Stock framings:</w:t>
        </w:r>
      </w:ins>
    </w:p>
    <w:p>
      <w:pPr>
        <w:pStyle w:val="Compact"/>
        <w:numPr>
          <w:ilvl w:val="1"/>
          <w:numId w:val="1003"/>
        </w:numPr>
      </w:pPr>
      <w:ins w:id="98" w:author="PR Preview" w:date="2026-01-01T00:00:00Z">
        <w:r>
          <w:t xml:space="preserve">“at its core”</w:t>
        </w:r>
      </w:ins>
    </w:p>
    <w:p>
      <w:pPr>
        <w:pStyle w:val="Compact"/>
        <w:numPr>
          <w:ilvl w:val="1"/>
          <w:numId w:val="1003"/>
        </w:numPr>
      </w:pPr>
      <w:ins w:id="99" w:author="PR Preview" w:date="2026-01-01T00:00:00Z">
        <w:r>
          <w:t xml:space="preserve">“in essence”</w:t>
        </w:r>
      </w:ins>
    </w:p>
    <w:p>
      <w:pPr>
        <w:pStyle w:val="Compact"/>
        <w:numPr>
          <w:ilvl w:val="1"/>
          <w:numId w:val="1003"/>
        </w:numPr>
      </w:pPr>
      <w:ins w:id="100" w:author="PR Preview" w:date="2026-01-01T00:00:00Z">
        <w:r>
          <w:t xml:space="preserve">“boils down to”</w:t>
        </w:r>
      </w:ins>
    </w:p>
    <w:p>
      <w:pPr>
        <w:pStyle w:val="Compact"/>
        <w:numPr>
          <w:ilvl w:val="1"/>
          <w:numId w:val="1003"/>
        </w:numPr>
      </w:pPr>
      <w:ins w:id="101" w:author="PR Preview" w:date="2026-01-01T00:00:00Z">
        <w:r>
          <w:t xml:space="preserve">“when it comes to”</w:t>
        </w:r>
      </w:ins>
    </w:p>
    <w:p>
      <w:pPr>
        <w:pStyle w:val="Compact"/>
        <w:numPr>
          <w:ilvl w:val="1"/>
          <w:numId w:val="1003"/>
        </w:numPr>
      </w:pPr>
      <w:ins w:id="102" w:author="PR Preview" w:date="2026-01-01T00:00:00Z">
        <w:r>
          <w:t xml:space="preserve">“in the realm of”</w:t>
        </w:r>
      </w:ins>
    </w:p>
    <w:p>
      <w:pPr>
        <w:pStyle w:val="Compact"/>
        <w:numPr>
          <w:ilvl w:val="1"/>
          <w:numId w:val="1003"/>
        </w:numPr>
      </w:pPr>
      <w:ins w:id="103" w:author="PR Preview" w:date="2026-01-01T00:00:00Z">
        <w:r>
          <w:t xml:space="preserve">“the key takeaway”</w:t>
        </w:r>
      </w:ins>
    </w:p>
    <w:p>
      <w:pPr>
        <w:pStyle w:val="Compact"/>
        <w:numPr>
          <w:ilvl w:val="1"/>
          <w:numId w:val="1003"/>
        </w:numPr>
      </w:pPr>
      <w:ins w:id="104" w:author="PR Preview" w:date="2026-01-01T00:00:00Z">
        <w:r>
          <w:t xml:space="preserve">“more than just”</w:t>
        </w:r>
      </w:ins>
    </w:p>
    <w:bookmarkEnd w:id="14"/>
    <w:bookmarkStart w:id="16" w:name="rhetorical-reflexes"/>
    <w:p>
      <w:pPr>
        <w:pStyle w:val="Heading2"/>
      </w:pPr>
      <w:ins w:id="105" w:author="PR Preview" w:date="2026-01-01T00:00:00Z">
        <w:r>
          <w:t xml:space="preserve">2 Rhetorical reflexes</w:t>
        </w:r>
      </w:ins>
    </w:p>
    <w:p>
      <w:pPr>
        <w:pStyle w:val="FirstParagraph"/>
      </w:pPr>
      <w:ins w:id="106" w:author="PR Preview" w:date="2026-01-01T00:00:00Z">
        <w:r>
          <w:t xml:space="preserve">Writers reach for a few sentence shapes by reflex,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whether or not the content calls for them.</w:t>
        </w:r>
      </w:ins>
    </w:p>
    <w:p>
      <w:pPr>
        <w:pStyle w:val="BodyText"/>
      </w:pPr>
      <w:ins w:id="109" w:author="PR Preview" w:date="2026-01-01T00:00:00Z">
        <w:r>
          <w:t xml:space="preserve">The most recognizable is the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rPr>
            <w:i/>
            <w:iCs/>
          </w:rPr>
          <w:t xml:space="preserve">not just X, but Y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antithesis.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It promises a profound contrast and usually delivers a hollow one.</w:t>
        </w:r>
      </w:ins>
    </w:p>
    <w:bookmarkStart w:id="15" w:name="exm-antithesis"/>
    <w:p>
      <w:pPr>
        <w:pStyle w:val="BodyText"/>
      </w:pPr>
      <w:ins w:id="116" w:author="PR Preview" w:date="2026-01-01T00:00:00Z">
        <w:r>
          <w:rPr>
            <w:b/>
            <w:bCs/>
          </w:rPr>
          <w:t xml:space="preserve">Example 1 (The</w:t>
        </w:r>
      </w:ins>
      <w:ins w:id="117" w:author="PR Preview" w:date="2026-01-01T00:00:00Z">
        <w:r>
          <w:rPr>
            <w:b/>
            <w:bCs/>
          </w:rPr>
          <w:t xml:space="preserve"> </w:t>
        </w:r>
      </w:ins>
      <w:ins w:id="118" w:author="PR Preview" w:date="2026-01-01T00:00:00Z">
        <w:r>
          <w:rPr>
            <w:b/>
            <w:bCs/>
          </w:rPr>
          <w:t xml:space="preserve">“not just X, but Y”</w:t>
        </w:r>
      </w:ins>
      <w:ins w:id="119" w:author="PR Preview" w:date="2026-01-01T00:00:00Z">
        <w:r>
          <w:rPr>
            <w:b/>
            <w:bCs/>
          </w:rPr>
          <w:t xml:space="preserve"> </w:t>
        </w:r>
      </w:ins>
      <w:ins w:id="120" w:author="PR Preview" w:date="2026-01-01T00:00:00Z">
        <w:r>
          <w:rPr>
            <w:b/>
            <w:bCs/>
          </w:rPr>
          <w:t xml:space="preserve">reflex)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 </w:t>
        </w:r>
      </w:ins>
    </w:p>
    <w:p>
      <w:pPr>
        <w:pStyle w:val="BlockText"/>
      </w:pPr>
      <w:ins w:id="123" w:author="PR Preview" w:date="2026-01-01T00:00:00Z">
        <w:r>
          <w:t xml:space="preserve">❌ This method is not just fast — it is transformative.</w:t>
        </w:r>
      </w:ins>
    </w:p>
    <w:p>
      <w:pPr>
        <w:pStyle w:val="BlockText"/>
      </w:pPr>
      <w:ins w:id="124" w:author="PR Preview" w:date="2026-01-01T00:00:00Z">
        <w:r>
          <w:t xml:space="preserve">✅ This method runs in half the time of the previous approach.</w:t>
        </w:r>
      </w:ins>
    </w:p>
    <w:p>
      <w:pPr>
        <w:pStyle w:val="FirstParagraph"/>
      </w:pPr>
      <w:ins w:id="125" w:author="PR Preview" w:date="2026-01-01T00:00:00Z">
        <w:r>
          <w:t xml:space="preserve">The plain version makes a concrete, verifiable claim.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The antithesis frame makes none.</w:t>
        </w:r>
      </w:ins>
    </w:p>
    <w:bookmarkEnd w:id="15"/>
    <w:p>
      <w:pPr>
        <w:pStyle w:val="BodyText"/>
      </w:pPr>
      <w:ins w:id="128" w:author="PR Preview" w:date="2026-01-01T00:00:00Z">
        <w:r>
          <w:t xml:space="preserve">Other reflexes to watch for:</w:t>
        </w:r>
      </w:ins>
    </w:p>
    <w:p>
      <w:pPr>
        <w:pStyle w:val="Compact"/>
        <w:numPr>
          <w:ilvl w:val="0"/>
          <w:numId w:val="1004"/>
        </w:numPr>
      </w:pPr>
      <w:ins w:id="129" w:author="PR Preview" w:date="2026-01-01T00:00:00Z">
        <w:r>
          <w:rPr>
            <w:b/>
            <w:bCs/>
          </w:rPr>
          <w:t xml:space="preserve">Mechanical lists of three.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Three parallel items appear whether or not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three is the right count. Use the number of items the point actually needs.</w:t>
        </w:r>
      </w:ins>
    </w:p>
    <w:p>
      <w:pPr>
        <w:pStyle w:val="Compact"/>
        <w:numPr>
          <w:ilvl w:val="0"/>
          <w:numId w:val="1004"/>
        </w:numPr>
      </w:pPr>
      <w:ins w:id="134" w:author="PR Preview" w:date="2026-01-01T00:00:00Z">
        <w:r>
          <w:rPr>
            <w:b/>
            <w:bCs/>
          </w:rPr>
          <w:t xml:space="preserve">Signpost filler.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Phrases like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“it is worth noting that”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and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“importantly”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announce a point instead of making it. Cut them and state the point directly.</w:t>
        </w:r>
      </w:ins>
    </w:p>
    <w:p>
      <w:pPr>
        <w:pStyle w:val="Compact"/>
        <w:numPr>
          <w:ilvl w:val="0"/>
          <w:numId w:val="1004"/>
        </w:numPr>
      </w:pPr>
      <w:ins w:id="145" w:author="PR Preview" w:date="2026-01-01T00:00:00Z">
        <w:r>
          <w:rPr>
            <w:b/>
            <w:bCs/>
          </w:rPr>
          <w:t xml:space="preserve">Hedging stacks.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“May potentially suggest”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and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“could possibly indicate”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pile up qualifiers. Keep one honest hedge; drop the rest.</w:t>
        </w:r>
      </w:ins>
    </w:p>
    <w:p>
      <w:pPr>
        <w:pStyle w:val="Compact"/>
        <w:numPr>
          <w:ilvl w:val="0"/>
          <w:numId w:val="1004"/>
        </w:numPr>
      </w:pPr>
      <w:ins w:id="154" w:author="PR Preview" w:date="2026-01-01T00:00:00Z">
        <w:r>
          <w:rPr>
            <w:b/>
            <w:bCs/>
          </w:rPr>
          <w:t xml:space="preserve">Hollow summaries.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A closing paragraph that opens with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“in conclusion”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and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only restates what you just said adds nothing. End on a real point.</w:t>
        </w:r>
      </w:ins>
    </w:p>
    <w:bookmarkEnd w:id="16"/>
    <w:bookmarkStart w:id="19" w:name="say-what-it-is-before-what-it-is-not"/>
    <w:p>
      <w:pPr>
        <w:pStyle w:val="Heading2"/>
      </w:pPr>
      <w:ins w:id="163" w:author="PR Preview" w:date="2026-01-01T00:00:00Z">
        <w:r>
          <w:t xml:space="preserve">3 Say what it is before what it is not</w:t>
        </w:r>
      </w:ins>
    </w:p>
    <w:p>
      <w:pPr>
        <w:pStyle w:val="FirstParagraph"/>
      </w:pPr>
      <w:ins w:id="164" w:author="PR Preview" w:date="2026-01-01T00:00:00Z">
        <w:r>
          <w:t xml:space="preserve">When a sentence needs both a positive claim and a denial,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state the positive claim first.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The reader learns what the subject is before being told what to rule out,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and the denial then attaches to a claim already made.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Opening with the denial makes the reader carry an unsupported denial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until the second clause arrives.</w:t>
        </w:r>
      </w:ins>
    </w:p>
    <w:bookmarkStart w:id="18" w:name="exm-positive-first"/>
    <w:p>
      <w:pPr>
        <w:pStyle w:val="BodyText"/>
      </w:pPr>
      <w:ins w:id="175" w:author="PR Preview" w:date="2026-01-01T00:00:00Z">
        <w:r>
          <w:rPr>
            <w:b/>
            <w:bCs/>
          </w:rPr>
          <w:t xml:space="preserve">Example 2 (Positive claim, then denial)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 </w:t>
        </w:r>
      </w:ins>
    </w:p>
    <w:p>
      <w:pPr>
        <w:pStyle w:val="BlockText"/>
      </w:pPr>
      <w:ins w:id="178" w:author="PR Preview" w:date="2026-01-01T00:00:00Z">
        <w:r>
          <w:t xml:space="preserve">❌ The padding is not a convention, it is an identity.</w:t>
        </w:r>
      </w:ins>
    </w:p>
    <w:p>
      <w:pPr>
        <w:pStyle w:val="BlockText"/>
      </w:pPr>
      <w:ins w:id="179" w:author="PR Preview" w:date="2026-01-01T00:00:00Z">
        <w:r>
          <w:t xml:space="preserve">✅ The padding is an identity, not a convention.</w:t>
        </w:r>
      </w:ins>
    </w:p>
    <w:p>
      <w:pPr>
        <w:pStyle w:val="FirstParagraph"/>
      </w:pPr>
      <w:ins w:id="180" w:author="PR Preview" w:date="2026-01-01T00:00:00Z">
        <w:r>
          <w:t xml:space="preserve">The first version says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“not a convention”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before the reader knows what the padding is,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then repeats the subject and verb to supply the claim.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The second version states the claim once and ends on the contrast.</w:t>
        </w:r>
      </w:ins>
    </w:p>
    <w:p>
      <w:pPr>
        <w:pStyle w:val="BodyText"/>
      </w:pPr>
      <w:ins w:id="189" w:author="PR Preview" w:date="2026-01-01T00:00:00Z">
        <w:r>
          <w:t xml:space="preserve">The order matters even when the sentence stays grammatical:</w:t>
        </w:r>
      </w:ins>
    </w:p>
    <w:p>
      <w:pPr>
        <w:pStyle w:val="BlockText"/>
      </w:pPr>
      <w:ins w:id="190" w:author="PR Preview" w:date="2026-01-01T00:00:00Z">
        <w:r>
          <w:t xml:space="preserve">❌ The padding is not a convention but an identity.</w:t>
        </w:r>
      </w:ins>
    </w:p>
    <w:p>
      <w:pPr>
        <w:pStyle w:val="BlockText"/>
      </w:pPr>
      <w:ins w:id="191" w:author="PR Preview" w:date="2026-01-01T00:00:00Z">
        <w:r>
          <w:t xml:space="preserve">✅ The padding is an identity, not a convention.</w:t>
        </w:r>
      </w:ins>
    </w:p>
    <w:p>
      <w:pPr>
        <w:pStyle w:val="FirstParagraph"/>
      </w:pPr>
      <w:ins w:id="192" w:author="PR Preview" w:date="2026-01-01T00:00:00Z">
        <w:r>
          <w:t xml:space="preserve">Both are correct sentences; the second puts the claim first.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The first pair is from the</w:t>
        </w:r>
      </w:ins>
      <w:ins w:id="195" w:author="PR Preview" w:date="2026-01-01T00:00:00Z">
        <w:r>
          <w:t xml:space="preserve"> </w:t>
        </w:r>
      </w:ins>
      <w:hyperlink r:id="rId17">
        <w:ins w:id="196" w:author="PR Preview" w:date="2026-01-01T00:00:00Z">
          <w:r>
            <w:rPr>
              <w:rStyle w:val="Hyperlink"/>
            </w:rPr>
            <w:t xml:space="preserve">linear regression chapter of lds</w:t>
          </w:r>
        </w:ins>
      </w:hyperlink>
      <w:ins w:id="197" w:author="PR Preview" w:date="2026-01-01T00:00:00Z">
        <w:r>
          <w:t xml:space="preserve">.</w:t>
        </w:r>
      </w:ins>
    </w:p>
    <w:bookmarkEnd w:id="18"/>
    <w:p>
      <w:pPr>
        <w:pStyle w:val="BodyText"/>
      </w:pPr>
      <w:ins w:id="198" w:author="PR Preview" w:date="2026-01-01T00:00:00Z">
        <w:r>
          <w:t xml:space="preserve">Often the denial can be cut.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Keep it only when the reader might plausibly believe the rejected reading,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as with a convention versus an identity.</w:t>
        </w:r>
      </w:ins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A denial that rejects a view nobody holds is the reframe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(see</w:t>
        </w:r>
      </w:ins>
      <w:ins w:id="207" w:author="PR Preview" w:date="2026-01-01T00:00:00Z">
        <w:r>
          <w:t xml:space="preserve"> </w:t>
        </w:r>
      </w:ins>
      <w:hyperlink w:anchor="clichéd-sentence-shapes">
        <w:ins w:id="208" w:author="PR Preview" w:date="2026-01-01T00:00:00Z">
          <w:r>
            <w:rPr>
              <w:rStyle w:val="Hyperlink"/>
            </w:rPr>
            <w:t xml:space="preserve">Clichéd sentence shapes</w:t>
          </w:r>
        </w:ins>
      </w:hyperlink>
      <w:ins w:id="209" w:author="PR Preview" w:date="2026-01-01T00:00:00Z">
        <w:r>
          <w:t xml:space="preserve">) in miniature: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cut it and keep the claim.</w:t>
        </w:r>
      </w:ins>
    </w:p>
    <w:bookmarkEnd w:id="19"/>
    <w:bookmarkStart w:id="25" w:name="clichéd-sentence-shapes"/>
    <w:p>
      <w:pPr>
        <w:pStyle w:val="Heading2"/>
      </w:pPr>
      <w:ins w:id="212" w:author="PR Preview" w:date="2026-01-01T00:00:00Z">
        <w:r>
          <w:t xml:space="preserve">4 Clichéd sentence shapes</w:t>
        </w:r>
      </w:ins>
    </w:p>
    <w:p>
      <w:pPr>
        <w:pStyle w:val="FirstParagraph"/>
      </w:pPr>
      <w:ins w:id="213" w:author="PR Preview" w:date="2026-01-01T00:00:00Z">
        <w:r>
          <w:t xml:space="preserve">Beyond the antithesis,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clichéd drafts lean on a set of sentence shapes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that stage a point instead of stating it.</w:t>
        </w:r>
      </w:ins>
    </w:p>
    <w:bookmarkStart w:id="20" w:name="exm-staged-point"/>
    <w:p>
      <w:pPr>
        <w:pStyle w:val="BodyText"/>
      </w:pPr>
      <w:ins w:id="218" w:author="PR Preview" w:date="2026-01-01T00:00:00Z">
        <w:r>
          <w:rPr>
            <w:b/>
            <w:bCs/>
          </w:rPr>
          <w:t xml:space="preserve">Example 3 (A staged point)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 </w:t>
        </w:r>
      </w:ins>
    </w:p>
    <w:p>
      <w:pPr>
        <w:pStyle w:val="BlockText"/>
      </w:pPr>
      <w:ins w:id="221" w:author="PR Preview" w:date="2026-01-01T00:00:00Z">
        <w:r>
          <w:t xml:space="preserve">❌ It can read like a definition that says nothing.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Its use is in what it forces you to name: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a project that cannot say what its</w:t>
        </w:r>
      </w:ins>
      <w:ins w:id="226" w:author="PR Preview" w:date="2026-01-01T00:00:00Z">
        <w:r>
          <w:t xml:space="preserve"> </w:t>
        </w:r>
      </w:ins>
      <m:oMath>
        <m:r>
          <m:t>E</m:t>
        </m:r>
      </m:oMath>
      <w:ins w:id="227" w:author="PR Preview" w:date="2026-01-01T00:00:00Z">
        <w:r>
          <w:t xml:space="preserve">,</w:t>
        </w:r>
      </w:ins>
      <w:ins w:id="228" w:author="PR Preview" w:date="2026-01-01T00:00:00Z">
        <w:r>
          <w:t xml:space="preserve"> </w:t>
        </w:r>
      </w:ins>
      <m:oMath>
        <m:r>
          <m:t>T</m:t>
        </m:r>
      </m:oMath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and</w:t>
        </w:r>
      </w:ins>
      <w:ins w:id="231" w:author="PR Preview" w:date="2026-01-01T00:00:00Z">
        <w:r>
          <w:t xml:space="preserve"> </w:t>
        </w:r>
      </w:ins>
      <m:oMath>
        <m:r>
          <m:t>P</m:t>
        </m:r>
      </m:oMath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are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has not yet stated a machine learning problem.</w:t>
        </w:r>
      </w:ins>
    </w:p>
    <w:p>
      <w:pPr>
        <w:pStyle w:val="BlockText"/>
      </w:pPr>
      <w:ins w:id="236" w:author="PR Preview" w:date="2026-01-01T00:00:00Z">
        <w:r>
          <w:t xml:space="preserve">✅ A machine learning problem is stated only when its</w:t>
        </w:r>
      </w:ins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experience</w:t>
        </w:r>
      </w:ins>
      <w:ins w:id="239" w:author="PR Preview" w:date="2026-01-01T00:00:00Z">
        <w:r>
          <w:t xml:space="preserve"> </w:t>
        </w:r>
      </w:ins>
      <m:oMath>
        <m:r>
          <m:t>E</m:t>
        </m:r>
      </m:oMath>
      <w:ins w:id="240" w:author="PR Preview" w:date="2026-01-01T00:00:00Z">
        <w:r>
          <w:t xml:space="preserve">, task</w:t>
        </w:r>
      </w:ins>
      <w:ins w:id="241" w:author="PR Preview" w:date="2026-01-01T00:00:00Z">
        <w:r>
          <w:t xml:space="preserve"> </w:t>
        </w:r>
      </w:ins>
      <m:oMath>
        <m:r>
          <m:t>T</m:t>
        </m:r>
      </m:oMath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and performance measure</w:t>
        </w:r>
      </w:ins>
      <w:ins w:id="244" w:author="PR Preview" w:date="2026-01-01T00:00:00Z">
        <w:r>
          <w:t xml:space="preserve"> </w:t>
        </w:r>
      </w:ins>
      <m:oMath>
        <m:r>
          <m:t>P</m:t>
        </m:r>
      </m:oMath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are named.</w:t>
        </w:r>
      </w:ins>
    </w:p>
    <w:p>
      <w:pPr>
        <w:pStyle w:val="FirstParagraph"/>
      </w:pPr>
      <w:ins w:id="247" w:author="PR Preview" w:date="2026-01-01T00:00:00Z">
        <w:r>
          <w:t xml:space="preserve">The first version packs six clichés into two sentences:</w:t>
        </w:r>
      </w:ins>
    </w:p>
    <w:p>
      <w:pPr>
        <w:pStyle w:val="Compact"/>
        <w:numPr>
          <w:ilvl w:val="0"/>
          <w:numId w:val="1005"/>
        </w:numPr>
      </w:pPr>
      <w:ins w:id="248" w:author="PR Preview" w:date="2026-01-01T00:00:00Z">
        <w:r>
          <w:t xml:space="preserve">an objection raised only to be knocked down;</w:t>
        </w:r>
      </w:ins>
    </w:p>
    <w:p>
      <w:pPr>
        <w:pStyle w:val="Compact"/>
        <w:numPr>
          <w:ilvl w:val="0"/>
          <w:numId w:val="1005"/>
        </w:numPr>
      </w:pPr>
      <w:ins w:id="249" w:author="PR Preview" w:date="2026-01-01T00:00:00Z">
        <w:r>
          <w:t xml:space="preserve">“It”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and</w:t>
        </w:r>
      </w:ins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“Its”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in place of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“the definition”</w:t>
        </w:r>
      </w:ins>
      <w:ins w:id="258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5"/>
        </w:numPr>
      </w:pPr>
      <w:ins w:id="259" w:author="PR Preview" w:date="2026-01-01T00:00:00Z">
        <w:r>
          <w:t xml:space="preserve">a definition that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“forces”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the reader, as if it were a person;</w:t>
        </w:r>
      </w:ins>
    </w:p>
    <w:p>
      <w:pPr>
        <w:pStyle w:val="Compact"/>
        <w:numPr>
          <w:ilvl w:val="0"/>
          <w:numId w:val="1005"/>
        </w:numPr>
      </w:pPr>
      <w:ins w:id="264" w:author="PR Preview" w:date="2026-01-01T00:00:00Z">
        <w:r>
          <w:t xml:space="preserve">“you”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addressing the reader;</w:t>
        </w:r>
      </w:ins>
    </w:p>
    <w:p>
      <w:pPr>
        <w:pStyle w:val="Compact"/>
        <w:numPr>
          <w:ilvl w:val="0"/>
          <w:numId w:val="1005"/>
        </w:numPr>
      </w:pPr>
      <w:ins w:id="267" w:author="PR Preview" w:date="2026-01-01T00:00:00Z">
        <w:r>
          <w:t xml:space="preserve">a point withheld until after a colon;</w:t>
        </w:r>
      </w:ins>
    </w:p>
    <w:p>
      <w:pPr>
        <w:pStyle w:val="Compact"/>
        <w:numPr>
          <w:ilvl w:val="0"/>
          <w:numId w:val="1005"/>
        </w:numPr>
      </w:pPr>
      <w:ins w:id="268" w:author="PR Preview" w:date="2026-01-01T00:00:00Z">
        <w:r>
          <w:t xml:space="preserve">a closing aphorism.</w:t>
        </w:r>
      </w:ins>
    </w:p>
    <w:p>
      <w:pPr>
        <w:pStyle w:val="FirstParagraph"/>
      </w:pPr>
      <w:ins w:id="269" w:author="PR Preview" w:date="2026-01-01T00:00:00Z">
        <w:r>
          <w:t xml:space="preserve">The second version states the claim once.</w:t>
        </w:r>
      </w:ins>
    </w:p>
    <w:bookmarkEnd w:id="20"/>
    <w:p>
      <w:pPr>
        <w:pStyle w:val="BodyText"/>
      </w:pPr>
      <w:ins w:id="270" w:author="PR Preview" w:date="2026-01-01T00:00:00Z">
        <w:r>
          <w:t xml:space="preserve">Watch for these shapes:</w:t>
        </w:r>
      </w:ins>
    </w:p>
    <w:p>
      <w:pPr>
        <w:pStyle w:val="Compact"/>
        <w:numPr>
          <w:ilvl w:val="0"/>
          <w:numId w:val="1006"/>
        </w:numPr>
      </w:pPr>
      <w:ins w:id="271" w:author="PR Preview" w:date="2026-01-01T00:00:00Z">
        <w:r>
          <w:rPr>
            <w:b/>
            <w:bCs/>
          </w:rPr>
          <w:t xml:space="preserve">The straw objection.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A doubt raised only to be answered</w:t>
        </w:r>
      </w:ins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(</w:t>
        </w:r>
      </w:ins>
      <w:ins w:id="276" w:author="PR Preview" w:date="2026-01-01T00:00:00Z">
        <w:r>
          <w:t xml:space="preserve">“It may seem trivial. In fact, …”</w:t>
        </w:r>
      </w:ins>
      <w:ins w:id="277" w:author="PR Preview" w:date="2026-01-01T00:00:00Z">
        <w:r>
          <w:t xml:space="preserve">).</w:t>
        </w:r>
      </w:ins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This is the antithesis spread over two sentences.</w:t>
        </w:r>
      </w:ins>
    </w:p>
    <w:p>
      <w:pPr>
        <w:pStyle w:val="Compact"/>
        <w:numPr>
          <w:ilvl w:val="0"/>
          <w:numId w:val="1006"/>
        </w:numPr>
      </w:pPr>
      <w:ins w:id="280" w:author="PR Preview" w:date="2026-01-01T00:00:00Z">
        <w:r>
          <w:rPr>
            <w:b/>
            <w:bCs/>
          </w:rPr>
          <w:t xml:space="preserve">The personified abstraction.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A definition, method or result that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“forces”</w:t>
        </w:r>
      </w:ins>
      <w:ins w:id="285" w:author="PR Preview" w:date="2026-01-01T00:00:00Z">
        <w:r>
          <w:t xml:space="preserve">,</w:t>
        </w:r>
      </w:ins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“invites”</w:t>
        </w:r>
      </w:ins>
      <w:ins w:id="288" w:author="PR Preview" w:date="2026-01-01T00:00:00Z">
        <w:r>
          <w:t xml:space="preserve">,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“demands”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or</w:t>
        </w:r>
      </w:ins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“asks”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something of the reader.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Name who does what.</w:t>
        </w:r>
      </w:ins>
    </w:p>
    <w:p>
      <w:pPr>
        <w:pStyle w:val="Compact"/>
        <w:numPr>
          <w:ilvl w:val="0"/>
          <w:numId w:val="1006"/>
        </w:numPr>
      </w:pPr>
      <w:ins w:id="299" w:author="PR Preview" w:date="2026-01-01T00:00:00Z">
        <w:r>
          <w:rPr>
            <w:b/>
            <w:bCs/>
          </w:rPr>
          <w:t xml:space="preserve">The colon reveal.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A setup, then a colon, then the point.</w:t>
        </w:r>
      </w:ins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Lead with the point.</w:t>
        </w:r>
      </w:ins>
    </w:p>
    <w:p>
      <w:pPr>
        <w:pStyle w:val="Compact"/>
        <w:numPr>
          <w:ilvl w:val="0"/>
          <w:numId w:val="1006"/>
        </w:numPr>
      </w:pPr>
      <w:ins w:id="304" w:author="PR Preview" w:date="2026-01-01T00:00:00Z">
        <w:r>
          <w:rPr>
            <w:b/>
            <w:bCs/>
          </w:rPr>
          <w:t xml:space="preserve">The answered rhetorical question.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“The result? A faster fit.”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or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“Why does this matter? Because …”</w:t>
        </w:r>
      </w:ins>
      <w:ins w:id="311" w:author="PR Preview" w:date="2026-01-01T00:00:00Z">
        <w:r>
          <w:t xml:space="preserve">.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State the result.</w:t>
        </w:r>
      </w:ins>
    </w:p>
    <w:p>
      <w:pPr>
        <w:pStyle w:val="Compact"/>
        <w:numPr>
          <w:ilvl w:val="0"/>
          <w:numId w:val="1006"/>
        </w:numPr>
      </w:pPr>
      <w:ins w:id="314" w:author="PR Preview" w:date="2026-01-01T00:00:00Z">
        <w:r>
          <w:rPr>
            <w:b/>
            <w:bCs/>
          </w:rPr>
          <w:t xml:space="preserve">The throat-clearing lead-in.</w:t>
        </w:r>
      </w:ins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“Here’s the thing:”</w:t>
        </w:r>
      </w:ins>
      <w:ins w:id="317" w:author="PR Preview" w:date="2026-01-01T00:00:00Z">
        <w:r>
          <w:t xml:space="preserve">,</w:t>
        </w:r>
      </w:ins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“Here’s why:”</w:t>
        </w:r>
      </w:ins>
      <w:ins w:id="320" w:author="PR Preview" w:date="2026-01-01T00:00:00Z">
        <w:r>
          <w:t xml:space="preserve">,</w:t>
        </w:r>
      </w:ins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“The key is”</w:t>
        </w:r>
      </w:ins>
      <w:ins w:id="323" w:author="PR Preview" w:date="2026-01-01T00:00:00Z">
        <w:r>
          <w:t xml:space="preserve">,</w:t>
        </w:r>
      </w:ins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“Put simply,”</w:t>
        </w:r>
      </w:ins>
      <w:ins w:id="326" w:author="PR Preview" w:date="2026-01-01T00:00:00Z">
        <w:r>
          <w:t xml:space="preserve">.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Delete the lead-in.</w:t>
        </w:r>
      </w:ins>
    </w:p>
    <w:p>
      <w:pPr>
        <w:pStyle w:val="Compact"/>
        <w:numPr>
          <w:ilvl w:val="0"/>
          <w:numId w:val="1006"/>
        </w:numPr>
      </w:pPr>
      <w:ins w:id="329" w:author="PR Preview" w:date="2026-01-01T00:00:00Z">
        <w:r>
          <w:rPr>
            <w:b/>
            <w:bCs/>
          </w:rPr>
          <w:t xml:space="preserve">The announced claim.</w:t>
        </w:r>
      </w:ins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“It is what makes … valid”</w:t>
        </w:r>
      </w:ins>
      <w:ins w:id="332" w:author="PR Preview" w:date="2026-01-01T00:00:00Z">
        <w:r>
          <w:t xml:space="preserve">,</w:t>
        </w:r>
      </w:ins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“That is what …”</w:t>
        </w:r>
      </w:ins>
      <w:ins w:id="335" w:author="PR Preview" w:date="2026-01-01T00:00:00Z">
        <w:r>
          <w:t xml:space="preserve">,</w:t>
        </w:r>
      </w:ins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“This is what …”</w:t>
        </w:r>
      </w:ins>
      <w:ins w:id="338" w:author="PR Preview" w:date="2026-01-01T00:00:00Z">
        <w:r>
          <w:t xml:space="preserve">, and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“What the standing grant removes is the need to ask”</w:t>
        </w:r>
      </w:ins>
      <w:ins w:id="341" w:author="PR Preview" w:date="2026-01-01T00:00:00Z">
        <w:r>
          <w:t xml:space="preserve">.</w:t>
        </w:r>
      </w:ins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The sentence points at its own claim before making it.</w:t>
        </w:r>
      </w:ins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Make the claim directly: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“It is what makes sums over countably infinite partitions valid”</w:t>
        </w:r>
      </w:ins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becomes</w:t>
        </w:r>
      </w:ins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“It makes sums over countably infinite partitions valid”</w:t>
        </w:r>
      </w:ins>
      <w:ins w:id="352" w:author="PR Preview" w:date="2026-01-01T00:00:00Z">
        <w:r>
          <w:t xml:space="preserve">,</w:t>
        </w:r>
      </w:ins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and</w:t>
        </w:r>
      </w:ins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“What the standing grant removes is the need to ask”</w:t>
        </w:r>
      </w:ins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becomes</w:t>
        </w:r>
      </w:ins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“The standing grant removes the need to ask”</w:t>
        </w:r>
      </w:ins>
      <w:ins w:id="361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6"/>
        </w:numPr>
      </w:pPr>
      <w:ins w:id="362" w:author="PR Preview" w:date="2026-01-01T00:00:00Z">
        <w:r>
          <w:rPr>
            <w:b/>
            <w:bCs/>
          </w:rPr>
          <w:t xml:space="preserve">The reframe.</w:t>
        </w:r>
      </w:ins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“X isn’t about Y; it’s about Z”</w:t>
        </w:r>
      </w:ins>
      <w:ins w:id="365" w:author="PR Preview" w:date="2026-01-01T00:00:00Z">
        <w:r>
          <w:t xml:space="preserve">,</w:t>
        </w:r>
      </w:ins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“The question isn’t X, it’s Y”</w:t>
        </w:r>
      </w:ins>
      <w:ins w:id="368" w:author="PR Preview" w:date="2026-01-01T00:00:00Z">
        <w:r>
          <w:t xml:space="preserve">,</w:t>
        </w:r>
      </w:ins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and</w:t>
        </w:r>
      </w:ins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“not because X, but because Y”</w:t>
        </w:r>
      </w:ins>
      <w:ins w:id="373" w:author="PR Preview" w:date="2026-01-01T00:00:00Z">
        <w:r>
          <w:t xml:space="preserve">.</w:t>
        </w:r>
      </w:ins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Say what X is about.</w:t>
        </w:r>
      </w:ins>
    </w:p>
    <w:p>
      <w:pPr>
        <w:pStyle w:val="Compact"/>
        <w:numPr>
          <w:ilvl w:val="0"/>
          <w:numId w:val="1006"/>
        </w:numPr>
      </w:pPr>
      <w:ins w:id="376" w:author="PR Preview" w:date="2026-01-01T00:00:00Z">
        <w:r>
          <w:rPr>
            <w:b/>
            <w:bCs/>
          </w:rPr>
          <w:t xml:space="preserve">Fragment emphasis.</w:t>
        </w:r>
      </w:ins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“Simple. Fast. Reliable.”</w:t>
        </w:r>
      </w:ins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Write a sentence with a subject and a verb.</w:t>
        </w:r>
      </w:ins>
    </w:p>
    <w:p>
      <w:pPr>
        <w:pStyle w:val="Compact"/>
        <w:numPr>
          <w:ilvl w:val="0"/>
          <w:numId w:val="1006"/>
        </w:numPr>
      </w:pPr>
      <w:ins w:id="381" w:author="PR Preview" w:date="2026-01-01T00:00:00Z">
        <w:r>
          <w:rPr>
            <w:b/>
            <w:bCs/>
          </w:rPr>
          <w:t xml:space="preserve">The editorializing tail.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A trailing participial clause that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comments on the sentence: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“, highlighting the importance of …”</w:t>
        </w:r>
      </w:ins>
      <w:ins w:id="388" w:author="PR Preview" w:date="2026-01-01T00:00:00Z">
        <w:r>
          <w:t xml:space="preserve">,</w:t>
        </w:r>
      </w:ins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“, ensuring that …”</w:t>
        </w:r>
      </w:ins>
      <w:ins w:id="391" w:author="PR Preview" w:date="2026-01-01T00:00:00Z">
        <w:r>
          <w:t xml:space="preserve">,</w:t>
        </w:r>
      </w:ins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“, making it ideal for …”</w:t>
        </w:r>
      </w:ins>
      <w:ins w:id="394" w:author="PR Preview" w:date="2026-01-01T00:00:00Z">
        <w:r>
          <w:t xml:space="preserve">.</w:t>
        </w:r>
      </w:ins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End the sentence at its claim.</w:t>
        </w:r>
      </w:ins>
    </w:p>
    <w:p>
      <w:pPr>
        <w:pStyle w:val="Compact"/>
        <w:numPr>
          <w:ilvl w:val="0"/>
          <w:numId w:val="1006"/>
        </w:numPr>
      </w:pPr>
      <w:ins w:id="397" w:author="PR Preview" w:date="2026-01-01T00:00:00Z">
        <w:r>
          <w:rPr>
            <w:b/>
            <w:bCs/>
          </w:rPr>
          <w:t xml:space="preserve">The inflated copula.</w:t>
        </w:r>
      </w:ins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“Serves as”</w:t>
        </w:r>
      </w:ins>
      <w:ins w:id="400" w:author="PR Preview" w:date="2026-01-01T00:00:00Z">
        <w:r>
          <w:t xml:space="preserve">,</w:t>
        </w:r>
      </w:ins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“stands as”</w:t>
        </w:r>
      </w:ins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and</w:t>
        </w:r>
      </w:ins>
      <w:ins w:id="405" w:author="PR Preview" w:date="2026-01-01T00:00:00Z">
        <w:r>
          <w:t xml:space="preserve"> </w:t>
        </w:r>
      </w:ins>
      <w:ins w:id="406" w:author="PR Preview" w:date="2026-01-01T00:00:00Z">
        <w:r>
          <w:t xml:space="preserve">“acts as”</w:t>
        </w:r>
      </w:ins>
      <w:ins w:id="407" w:author="PR Preview" w:date="2026-01-01T00:00:00Z">
        <w:r>
          <w:t xml:space="preserve"> </w:t>
        </w:r>
      </w:ins>
      <w:ins w:id="408" w:author="PR Preview" w:date="2026-01-01T00:00:00Z">
        <w:r>
          <w:t xml:space="preserve">where</w:t>
        </w:r>
      </w:ins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“is”</w:t>
        </w:r>
      </w:ins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says the same.</w:t>
        </w:r>
      </w:ins>
    </w:p>
    <w:p>
      <w:pPr>
        <w:pStyle w:val="Compact"/>
        <w:numPr>
          <w:ilvl w:val="0"/>
          <w:numId w:val="1006"/>
        </w:numPr>
      </w:pPr>
      <w:ins w:id="413" w:author="PR Preview" w:date="2026-01-01T00:00:00Z">
        <w:r>
          <w:rPr>
            <w:b/>
            <w:bCs/>
          </w:rPr>
          <w:t xml:space="preserve">The range frame.</w:t>
        </w:r>
      </w:ins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“From X to Y”</w:t>
        </w:r>
      </w:ins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listing two extremes</w:t>
        </w:r>
      </w:ins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instead of naming the scope.</w:t>
        </w:r>
      </w:ins>
    </w:p>
    <w:p>
      <w:pPr>
        <w:pStyle w:val="Compact"/>
        <w:numPr>
          <w:ilvl w:val="0"/>
          <w:numId w:val="1006"/>
        </w:numPr>
      </w:pPr>
      <w:ins w:id="420" w:author="PR Preview" w:date="2026-01-01T00:00:00Z">
        <w:r>
          <w:rPr>
            <w:b/>
            <w:bCs/>
          </w:rPr>
          <w:t xml:space="preserve">The audience frame.</w:t>
        </w:r>
      </w:ins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“Whether you’re a student or a researcher, …”</w:t>
        </w:r>
      </w:ins>
      <w:ins w:id="423" w:author="PR Preview" w:date="2026-01-01T00:00:00Z">
        <w:r>
          <w:t xml:space="preserve">.</w:t>
        </w:r>
      </w:ins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Drop it.</w:t>
        </w:r>
      </w:ins>
    </w:p>
    <w:p>
      <w:pPr>
        <w:pStyle w:val="Compact"/>
        <w:numPr>
          <w:ilvl w:val="0"/>
          <w:numId w:val="1006"/>
        </w:numPr>
      </w:pPr>
      <w:ins w:id="426" w:author="PR Preview" w:date="2026-01-01T00:00:00Z">
        <w:r>
          <w:rPr>
            <w:b/>
            <w:bCs/>
          </w:rPr>
          <w:t xml:space="preserve">The restatement.</w:t>
        </w:r>
      </w:ins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“In other words, …”</w:t>
        </w:r>
      </w:ins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repeating the previous sentence.</w:t>
        </w:r>
      </w:ins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Keep the clearer of the two.</w:t>
        </w:r>
      </w:ins>
    </w:p>
    <w:p>
      <w:pPr>
        <w:pStyle w:val="Compact"/>
        <w:numPr>
          <w:ilvl w:val="0"/>
          <w:numId w:val="1006"/>
        </w:numPr>
      </w:pPr>
      <w:ins w:id="433" w:author="PR Preview" w:date="2026-01-01T00:00:00Z">
        <w:r>
          <w:rPr>
            <w:b/>
            <w:bCs/>
          </w:rPr>
          <w:t xml:space="preserve">The closing aphorism.</w:t>
        </w:r>
      </w:ins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A one-line verdict at the end of a paragraph:</w:t>
        </w:r>
      </w:ins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“And that’s the point.”</w:t>
        </w:r>
      </w:ins>
      <w:ins w:id="438" w:author="PR Preview" w:date="2026-01-01T00:00:00Z">
        <w:r>
          <w:t xml:space="preserve">,</w:t>
        </w:r>
      </w:ins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“Simple as that.”</w:t>
        </w:r>
      </w:ins>
      <w:ins w:id="441" w:author="PR Preview" w:date="2026-01-01T00:00:00Z">
        <w:r>
          <w:t xml:space="preserve">,</w:t>
        </w:r>
      </w:ins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“… has not yet stated a problem.”</w:t>
        </w:r>
      </w:ins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End on the last piece of content.</w:t>
        </w:r>
      </w:ins>
    </w:p>
    <w:p>
      <w:pPr>
        <w:pStyle w:val="Compact"/>
        <w:numPr>
          <w:ilvl w:val="0"/>
          <w:numId w:val="1006"/>
        </w:numPr>
      </w:pPr>
      <w:ins w:id="446" w:author="PR Preview" w:date="2026-01-01T00:00:00Z">
        <w:r>
          <w:rPr>
            <w:b/>
            <w:bCs/>
          </w:rPr>
          <w:t xml:space="preserve">Sincerity intensifiers.</w:t>
        </w:r>
      </w:ins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“Genuinely”</w:t>
        </w:r>
      </w:ins>
      <w:ins w:id="449" w:author="PR Preview" w:date="2026-01-01T00:00:00Z">
        <w:r>
          <w:t xml:space="preserve">,</w:t>
        </w:r>
      </w:ins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“truly”</w:t>
        </w:r>
      </w:ins>
      <w:ins w:id="452" w:author="PR Preview" w:date="2026-01-01T00:00:00Z">
        <w:r>
          <w:t xml:space="preserve">,</w:t>
        </w:r>
      </w:ins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“actually”</w:t>
        </w:r>
      </w:ins>
      <w:ins w:id="455" w:author="PR Preview" w:date="2026-01-01T00:00:00Z">
        <w:r>
          <w:t xml:space="preserve">,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“really”</w:t>
        </w:r>
      </w:ins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and</w:t>
        </w:r>
      </w:ins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“crucially”</w:t>
        </w:r>
      </w:ins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used to sound earnest.</w:t>
        </w:r>
      </w:ins>
      <w:ins w:id="464" w:author="PR Preview" w:date="2026-01-01T00:00:00Z">
        <w:r>
          <w:t xml:space="preserve"> </w:t>
        </w:r>
      </w:ins>
      <w:ins w:id="465" w:author="PR Preview" w:date="2026-01-01T00:00:00Z">
        <w:r>
          <w:t xml:space="preserve">Cut them.</w:t>
        </w:r>
      </w:ins>
    </w:p>
    <w:p>
      <w:pPr>
        <w:pStyle w:val="Compact"/>
        <w:numPr>
          <w:ilvl w:val="0"/>
          <w:numId w:val="1006"/>
        </w:numPr>
      </w:pPr>
      <w:ins w:id="466" w:author="PR Preview" w:date="2026-01-01T00:00:00Z">
        <w:r>
          <w:rPr>
            <w:b/>
            <w:bCs/>
          </w:rPr>
          <w:t xml:space="preserve">Chained connectors.</w:t>
        </w:r>
      </w:ins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“Furthermore”</w:t>
        </w:r>
      </w:ins>
      <w:ins w:id="469" w:author="PR Preview" w:date="2026-01-01T00:00:00Z">
        <w:r>
          <w:t xml:space="preserve">,</w:t>
        </w:r>
      </w:ins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“Moreover”</w:t>
        </w:r>
      </w:ins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and</w:t>
        </w:r>
      </w:ins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“Additionally”</w:t>
        </w:r>
      </w:ins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opening consecutive sentences.</w:t>
        </w:r>
      </w:ins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Most can go; the order already signals addition.</w:t>
        </w:r>
      </w:ins>
    </w:p>
    <w:p>
      <w:pPr>
        <w:pStyle w:val="Compact"/>
        <w:numPr>
          <w:ilvl w:val="0"/>
          <w:numId w:val="1006"/>
        </w:numPr>
      </w:pPr>
      <w:ins w:id="480" w:author="PR Preview" w:date="2026-01-01T00:00:00Z">
        <w:r>
          <w:rPr>
            <w:b/>
            <w:bCs/>
          </w:rPr>
          <w:t xml:space="preserve">Assistant chatter.</w:t>
        </w:r>
      </w:ins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“Let’s dive in”</w:t>
        </w:r>
      </w:ins>
      <w:ins w:id="483" w:author="PR Preview" w:date="2026-01-01T00:00:00Z">
        <w:r>
          <w:t xml:space="preserve">,</w:t>
        </w:r>
      </w:ins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“Let’s unpack this”</w:t>
        </w:r>
      </w:ins>
      <w:ins w:id="486" w:author="PR Preview" w:date="2026-01-01T00:00:00Z">
        <w:r>
          <w:t xml:space="preserve">,</w:t>
        </w:r>
      </w:ins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“Great question”</w:t>
        </w:r>
      </w:ins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and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“I hope this helps”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belong in a chat window, not a document.</w:t>
        </w:r>
      </w:ins>
    </w:p>
    <w:p>
      <w:pPr>
        <w:pStyle w:val="FirstParagraph"/>
      </w:pPr>
      <w:ins w:id="495" w:author="PR Preview" w:date="2026-01-01T00:00:00Z">
        <w:r>
          <w:t xml:space="preserve">Four more habits blur the referent or delay the claim.</w:t>
        </w:r>
      </w:ins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Other chapters cover each:</w:t>
        </w:r>
      </w:ins>
    </w:p>
    <w:p>
      <w:pPr>
        <w:pStyle w:val="Compact"/>
        <w:numPr>
          <w:ilvl w:val="0"/>
          <w:numId w:val="1007"/>
        </w:numPr>
      </w:pPr>
      <w:ins w:id="498" w:author="PR Preview" w:date="2026-01-01T00:00:00Z">
        <w:r>
          <w:t xml:space="preserve">a demonstrative standing in for its referent</w:t>
        </w:r>
      </w:ins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(</w:t>
        </w:r>
      </w:ins>
      <w:hyperlink r:id="rId21">
        <w:ins w:id="501" w:author="PR Preview" w:date="2026-01-01T00:00:00Z">
          <w:r>
            <w:rPr>
              <w:rStyle w:val="Hyperlink"/>
            </w:rPr>
            <w:t xml:space="preserve">Demonstrative pronouns</w:t>
          </w:r>
        </w:ins>
      </w:hyperlink>
      <w:ins w:id="502" w:author="PR Preview" w:date="2026-01-01T00:00:00Z">
        <w:r>
          <w:t xml:space="preserve">);</w:t>
        </w:r>
      </w:ins>
    </w:p>
    <w:p>
      <w:pPr>
        <w:pStyle w:val="Compact"/>
        <w:numPr>
          <w:ilvl w:val="0"/>
          <w:numId w:val="1007"/>
        </w:numPr>
      </w:pPr>
      <w:ins w:id="503" w:author="PR Preview" w:date="2026-01-01T00:00:00Z">
        <w:r>
          <w:t xml:space="preserve">the word</w:t>
        </w:r>
      </w:ins>
      <w:ins w:id="504" w:author="PR Preview" w:date="2026-01-01T00:00:00Z">
        <w:r>
          <w:t xml:space="preserve"> </w:t>
        </w:r>
      </w:ins>
      <w:ins w:id="505" w:author="PR Preview" w:date="2026-01-01T00:00:00Z">
        <w:r>
          <w:t xml:space="preserve">“thing”</w:t>
        </w:r>
      </w:ins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(</w:t>
        </w:r>
      </w:ins>
      <w:hyperlink r:id="rId22">
        <w:ins w:id="508" w:author="PR Preview" w:date="2026-01-01T00:00:00Z">
          <w:r>
            <w:rPr>
              <w:rStyle w:val="Hyperlink"/>
            </w:rPr>
            <w:t xml:space="preserve">Say which thing</w:t>
          </w:r>
        </w:ins>
      </w:hyperlink>
      <w:ins w:id="509" w:author="PR Preview" w:date="2026-01-01T00:00:00Z">
        <w:r>
          <w:t xml:space="preserve">);</w:t>
        </w:r>
      </w:ins>
    </w:p>
    <w:p>
      <w:pPr>
        <w:pStyle w:val="Compact"/>
        <w:numPr>
          <w:ilvl w:val="0"/>
          <w:numId w:val="1007"/>
        </w:numPr>
      </w:pPr>
      <w:ins w:id="510" w:author="PR Preview" w:date="2026-01-01T00:00:00Z">
        <w:r>
          <w:t xml:space="preserve">a dependent clause opening a sentence</w:t>
        </w:r>
      </w:ins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(</w:t>
        </w:r>
      </w:ins>
      <w:hyperlink r:id="rId23">
        <w:ins w:id="513" w:author="PR Preview" w:date="2026-01-01T00:00:00Z">
          <w:r>
            <w:rPr>
              <w:rStyle w:val="Hyperlink"/>
            </w:rPr>
            <w:t xml:space="preserve">Lead with the subject</w:t>
          </w:r>
        </w:ins>
      </w:hyperlink>
      <w:ins w:id="514" w:author="PR Preview" w:date="2026-01-01T00:00:00Z">
        <w:r>
          <w:t xml:space="preserve">);</w:t>
        </w:r>
      </w:ins>
    </w:p>
    <w:p>
      <w:pPr>
        <w:pStyle w:val="Compact"/>
        <w:numPr>
          <w:ilvl w:val="0"/>
          <w:numId w:val="1007"/>
        </w:numPr>
      </w:pPr>
      <w:ins w:id="515" w:author="PR Preview" w:date="2026-01-01T00:00:00Z">
        <w:r>
          <w:t xml:space="preserve">informal idioms</w:t>
        </w:r>
      </w:ins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(</w:t>
        </w:r>
      </w:ins>
      <w:hyperlink r:id="rId24">
        <w:ins w:id="518" w:author="PR Preview" w:date="2026-01-01T00:00:00Z">
          <w:r>
            <w:rPr>
              <w:rStyle w:val="Hyperlink"/>
            </w:rPr>
            <w:t xml:space="preserve">Avoid vague and metaphorical language</w:t>
          </w:r>
        </w:ins>
      </w:hyperlink>
      <w:ins w:id="519" w:author="PR Preview" w:date="2026-01-01T00:00:00Z">
        <w:r>
          <w:t xml:space="preserve">).</w:t>
        </w:r>
      </w:ins>
    </w:p>
    <w:bookmarkEnd w:id="25"/>
    <w:bookmarkStart w:id="26" w:name="formatting-habits"/>
    <w:p>
      <w:pPr>
        <w:pStyle w:val="Heading2"/>
      </w:pPr>
      <w:ins w:id="520" w:author="PR Preview" w:date="2026-01-01T00:00:00Z">
        <w:r>
          <w:t xml:space="preserve">5 Formatting habits</w:t>
        </w:r>
      </w:ins>
    </w:p>
    <w:p>
      <w:pPr>
        <w:pStyle w:val="FirstParagraph"/>
      </w:pPr>
      <w:ins w:id="521" w:author="PR Preview" w:date="2026-01-01T00:00:00Z">
        <w:r>
          <w:t xml:space="preserve">Some clichés are typographic rather than verbal.</w:t>
        </w:r>
      </w:ins>
    </w:p>
    <w:p>
      <w:pPr>
        <w:pStyle w:val="Compact"/>
        <w:numPr>
          <w:ilvl w:val="0"/>
          <w:numId w:val="1008"/>
        </w:numPr>
      </w:pPr>
      <w:ins w:id="522" w:author="PR Preview" w:date="2026-01-01T00:00:00Z">
        <w:r>
          <w:rPr>
            <w:b/>
            <w:bCs/>
          </w:rPr>
          <w:t xml:space="preserve">The em-dash as a default connector.</w:t>
        </w:r>
      </w:ins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Some writers, and many AI drafts,</w:t>
        </w:r>
      </w:ins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use the em-dash to join almost any two clauses. Vary your punctuation: a period, a comma, or a</w:t>
        </w:r>
      </w:ins>
      <w:ins w:id="527" w:author="PR Preview" w:date="2026-01-01T00:00:00Z">
        <w:r>
          <w:t xml:space="preserve"> </w:t>
        </w:r>
      </w:ins>
      <w:ins w:id="528" w:author="PR Preview" w:date="2026-01-01T00:00:00Z">
        <w:r>
          <w:t xml:space="preserve">semicolon is often the better fit.</w:t>
        </w:r>
      </w:ins>
    </w:p>
    <w:p>
      <w:pPr>
        <w:pStyle w:val="Compact"/>
        <w:numPr>
          <w:ilvl w:val="0"/>
          <w:numId w:val="1008"/>
        </w:numPr>
      </w:pPr>
      <w:ins w:id="529" w:author="PR Preview" w:date="2026-01-01T00:00:00Z">
        <w:r>
          <w:rPr>
            <w:b/>
            <w:bCs/>
          </w:rPr>
          <w:t xml:space="preserve">Bold-leading bullets everywhere.</w:t>
        </w:r>
      </w:ins>
      <w:ins w:id="530" w:author="PR Preview" w:date="2026-01-01T00:00:00Z">
        <w:r>
          <w:t xml:space="preserve"> </w:t>
        </w:r>
      </w:ins>
      <w:ins w:id="531" w:author="PR Preview" w:date="2026-01-01T00:00:00Z">
        <w:r>
          <w:t xml:space="preserve">A</w:t>
        </w:r>
      </w:ins>
      <w:ins w:id="532" w:author="PR Preview" w:date="2026-01-01T00:00:00Z">
        <w:r>
          <w:t xml:space="preserve"> </w:t>
        </w:r>
      </w:ins>
      <w:ins w:id="533" w:author="PR Preview" w:date="2026-01-01T00:00:00Z">
        <w:r>
          <w:rPr>
            <w:rStyle w:val="VerbatimChar"/>
          </w:rPr>
          <w:t xml:space="preserve">**Term:** explanation</w:t>
        </w:r>
      </w:ins>
      <w:ins w:id="534" w:author="PR Preview" w:date="2026-01-01T00:00:00Z">
        <w:r>
          <w:t xml:space="preserve"> </w:t>
        </w:r>
      </w:ins>
      <w:ins w:id="535" w:author="PR Preview" w:date="2026-01-01T00:00:00Z">
        <w:r>
          <w:t xml:space="preserve">bullet is fine</w:t>
        </w:r>
      </w:ins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once, but applying the pattern to every list turns it into a tic. Use it when</w:t>
        </w:r>
      </w:ins>
      <w:ins w:id="538" w:author="PR Preview" w:date="2026-01-01T00:00:00Z">
        <w:r>
          <w:t xml:space="preserve"> </w:t>
        </w:r>
      </w:ins>
      <w:ins w:id="539" w:author="PR Preview" w:date="2026-01-01T00:00:00Z">
        <w:r>
          <w:t xml:space="preserve">the label earns emphasis, plain bullets otherwise.</w:t>
        </w:r>
      </w:ins>
    </w:p>
    <w:p>
      <w:pPr>
        <w:pStyle w:val="Compact"/>
        <w:numPr>
          <w:ilvl w:val="0"/>
          <w:numId w:val="1008"/>
        </w:numPr>
      </w:pPr>
      <w:ins w:id="540" w:author="PR Preview" w:date="2026-01-01T00:00:00Z">
        <w:r>
          <w:rPr>
            <w:b/>
            <w:bCs/>
          </w:rPr>
          <w:t xml:space="preserve">Emoji section headers.</w:t>
        </w:r>
      </w:ins>
      <w:ins w:id="541" w:author="PR Preview" w:date="2026-01-01T00:00:00Z">
        <w:r>
          <w:t xml:space="preserve"> </w:t>
        </w:r>
      </w:ins>
      <w:ins w:id="542" w:author="PR Preview" w:date="2026-01-01T00:00:00Z">
        <w:r>
          <w:t xml:space="preserve">Emoji in headings signal a blog post, not a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scientific document. Leave them out.</w:t>
        </w:r>
      </w:ins>
    </w:p>
    <w:p>
      <w:pPr>
        <w:pStyle w:val="Compact"/>
        <w:numPr>
          <w:ilvl w:val="0"/>
          <w:numId w:val="1008"/>
        </w:numPr>
      </w:pPr>
      <w:ins w:id="545" w:author="PR Preview" w:date="2026-01-01T00:00:00Z">
        <w:r>
          <w:rPr>
            <w:b/>
            <w:bCs/>
          </w:rPr>
          <w:t xml:space="preserve">Uniform paragraph rhythm.</w:t>
        </w:r>
      </w:ins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Paragraphs of near-identical length, each three</w:t>
        </w:r>
      </w:ins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or four sentences, read as monotonous. Let paragraph length follow the</w:t>
        </w:r>
      </w:ins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ideas.</w:t>
        </w:r>
      </w:ins>
    </w:p>
    <w:bookmarkEnd w:id="26"/>
    <w:bookmarkStart w:id="28" w:name="tone"/>
    <w:p>
      <w:pPr>
        <w:pStyle w:val="Heading2"/>
      </w:pPr>
      <w:ins w:id="552" w:author="PR Preview" w:date="2026-01-01T00:00:00Z">
        <w:r>
          <w:t xml:space="preserve">6 Tone</w:t>
        </w:r>
      </w:ins>
    </w:p>
    <w:p>
      <w:pPr>
        <w:pStyle w:val="FirstParagraph"/>
      </w:pPr>
      <w:ins w:id="553" w:author="PR Preview" w:date="2026-01-01T00:00:00Z">
        <w:r>
          <w:t xml:space="preserve">The last group of clichés is about register.</w:t>
        </w:r>
      </w:ins>
    </w:p>
    <w:p>
      <w:pPr>
        <w:pStyle w:val="Compact"/>
        <w:numPr>
          <w:ilvl w:val="0"/>
          <w:numId w:val="1009"/>
        </w:numPr>
      </w:pPr>
      <w:ins w:id="554" w:author="PR Preview" w:date="2026-01-01T00:00:00Z">
        <w:r>
          <w:rPr>
            <w:b/>
            <w:bCs/>
          </w:rPr>
          <w:t xml:space="preserve">Promotional language.</w:t>
        </w:r>
      </w:ins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Words like</w:t>
        </w:r>
      </w:ins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“powerful”</w:t>
        </w:r>
      </w:ins>
      <w:ins w:id="559" w:author="PR Preview" w:date="2026-01-01T00:00:00Z">
        <w:r>
          <w:t xml:space="preserve">,</w:t>
        </w:r>
      </w:ins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“game-changing”</w:t>
        </w:r>
      </w:ins>
      <w:ins w:id="562" w:author="PR Preview" w:date="2026-01-01T00:00:00Z">
        <w:r>
          <w:t xml:space="preserve">, and</w:t>
        </w:r>
      </w:ins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“cutting-edge”</w:t>
        </w:r>
      </w:ins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sell rather than inform. Describe what the thing does and let</w:t>
        </w:r>
      </w:ins>
      <w:ins w:id="567" w:author="PR Preview" w:date="2026-01-01T00:00:00Z">
        <w:r>
          <w:t xml:space="preserve"> </w:t>
        </w:r>
      </w:ins>
      <w:ins w:id="568" w:author="PR Preview" w:date="2026-01-01T00:00:00Z">
        <w:r>
          <w:t xml:space="preserve">the reader judge.</w:t>
        </w:r>
      </w:ins>
    </w:p>
    <w:p>
      <w:pPr>
        <w:pStyle w:val="Compact"/>
        <w:numPr>
          <w:ilvl w:val="0"/>
          <w:numId w:val="1009"/>
        </w:numPr>
      </w:pPr>
      <w:ins w:id="569" w:author="PR Preview" w:date="2026-01-01T00:00:00Z">
        <w:r>
          <w:rPr>
            <w:b/>
            <w:bCs/>
          </w:rPr>
          <w:t xml:space="preserve">Reflexive both-sides framing.</w:t>
        </w:r>
      </w:ins>
      <w:ins w:id="570" w:author="PR Preview" w:date="2026-01-01T00:00:00Z">
        <w:r>
          <w:t xml:space="preserve"> </w:t>
        </w:r>
      </w:ins>
      <w:ins w:id="571" w:author="PR Preview" w:date="2026-01-01T00:00:00Z">
        <w:r>
          <w:t xml:space="preserve">Tacking</w:t>
        </w:r>
      </w:ins>
      <w:ins w:id="572" w:author="PR Preview" w:date="2026-01-01T00:00:00Z">
        <w:r>
          <w:t xml:space="preserve"> </w:t>
        </w:r>
      </w:ins>
      <w:ins w:id="573" w:author="PR Preview" w:date="2026-01-01T00:00:00Z">
        <w:r>
          <w:t xml:space="preserve">“however, it is important to</w:t>
        </w:r>
      </w:ins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consider the other side”</w:t>
        </w:r>
      </w:ins>
      <w:ins w:id="576" w:author="PR Preview" w:date="2026-01-01T00:00:00Z">
        <w:r>
          <w:t xml:space="preserve"> </w:t>
        </w:r>
      </w:ins>
      <w:ins w:id="577" w:author="PR Preview" w:date="2026-01-01T00:00:00Z">
        <w:r>
          <w:t xml:space="preserve">onto every claim signals caution without adding</w:t>
        </w:r>
      </w:ins>
      <w:ins w:id="578" w:author="PR Preview" w:date="2026-01-01T00:00:00Z">
        <w:r>
          <w:t xml:space="preserve"> </w:t>
        </w:r>
      </w:ins>
      <w:ins w:id="579" w:author="PR Preview" w:date="2026-01-01T00:00:00Z">
        <w:r>
          <w:t xml:space="preserve">content. Hedge when the evidence is genuinely mixed, not by habit.</w:t>
        </w:r>
      </w:ins>
    </w:p>
    <w:p>
      <w:pPr>
        <w:pStyle w:val="Compact"/>
        <w:numPr>
          <w:ilvl w:val="0"/>
          <w:numId w:val="1009"/>
        </w:numPr>
      </w:pPr>
      <w:ins w:id="580" w:author="PR Preview" w:date="2026-01-01T00:00:00Z">
        <w:r>
          <w:rPr>
            <w:b/>
            <w:bCs/>
          </w:rPr>
          <w:t xml:space="preserve">Vague universals.</w:t>
        </w:r>
      </w:ins>
      <w:ins w:id="581" w:author="PR Preview" w:date="2026-01-01T00:00:00Z">
        <w:r>
          <w:t xml:space="preserve"> </w:t>
        </w:r>
      </w:ins>
      <w:ins w:id="582" w:author="PR Preview" w:date="2026-01-01T00:00:00Z">
        <w:r>
          <w:t xml:space="preserve">“Studies show”</w:t>
        </w:r>
      </w:ins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and</w:t>
        </w:r>
      </w:ins>
      <w:ins w:id="585" w:author="PR Preview" w:date="2026-01-01T00:00:00Z">
        <w:r>
          <w:t xml:space="preserve"> </w:t>
        </w:r>
      </w:ins>
      <w:ins w:id="586" w:author="PR Preview" w:date="2026-01-01T00:00:00Z">
        <w:r>
          <w:t xml:space="preserve">“experts agree”</w:t>
        </w:r>
      </w:ins>
      <w:ins w:id="587" w:author="PR Preview" w:date="2026-01-01T00:00:00Z">
        <w:r>
          <w:t xml:space="preserve">, with no specific</w:t>
        </w:r>
      </w:ins>
      <w:ins w:id="588" w:author="PR Preview" w:date="2026-01-01T00:00:00Z">
        <w:r>
          <w:t xml:space="preserve"> </w:t>
        </w:r>
      </w:ins>
      <w:ins w:id="589" w:author="PR Preview" w:date="2026-01-01T00:00:00Z">
        <w:r>
          <w:t xml:space="preserve">source or number, are clichés precisely because they dodge the evidence. Name</w:t>
        </w:r>
      </w:ins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the study and give the number, as the</w:t>
        </w:r>
      </w:ins>
      <w:ins w:id="592" w:author="PR Preview" w:date="2026-01-01T00:00:00Z">
        <w:r>
          <w:t xml:space="preserve"> </w:t>
        </w:r>
      </w:ins>
      <w:hyperlink r:id="rId27">
        <w:ins w:id="593" w:author="PR Preview" w:date="2026-01-01T00:00:00Z">
          <w:r>
            <w:rPr>
              <w:rStyle w:val="Hyperlink"/>
            </w:rPr>
            <w:t xml:space="preserve">Citations and evidence</w:t>
          </w:r>
        </w:ins>
      </w:hyperlink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chapter recommends.</w:t>
        </w:r>
      </w:ins>
    </w:p>
    <w:p>
      <w:pPr>
        <w:pStyle w:val="FirstParagraph"/>
      </w:pPr>
      <w:ins w:id="596" w:author="PR Preview" w:date="2026-01-01T00:00:00Z">
        <w:r>
          <w:t xml:space="preserve">A short scan for these patterns before you submit a draft</w:t>
        </w:r>
      </w:ins>
      <w:ins w:id="597" w:author="PR Preview" w:date="2026-01-01T00:00:00Z">
        <w:r>
          <w:t xml:space="preserve"> </w:t>
        </w:r>
      </w:ins>
      <w:ins w:id="598" w:author="PR Preview" w:date="2026-01-01T00:00:00Z">
        <w:r>
          <w:t xml:space="preserve">catches most of them.</w:t>
        </w:r>
      </w:ins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Cut the filler and the reflexes,</w:t>
        </w:r>
      </w:ins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but keep your own voice.</w:t>
        </w:r>
      </w:ins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7" Type="http://schemas.openxmlformats.org/officeDocument/2006/relationships/hyperlink" Target="citations-evidence.qmd" TargetMode="External"/><Relationship Id="rId23" Type="http://schemas.openxmlformats.org/officeDocument/2006/relationships/hyperlink" Target="conciseness.qmd#lead-with-the-subject" TargetMode="External"/><Relationship Id="rId21" Type="http://schemas.openxmlformats.org/officeDocument/2006/relationships/hyperlink" Target="grammar.qmd#demonstrative-pronouns" TargetMode="External"/><Relationship Id="rId17" Type="http://schemas.openxmlformats.org/officeDocument/2006/relationships/hyperlink" Target="https://morrison-lab.github.io/lds/chapters/linear-regression.html" TargetMode="External"/><Relationship Id="rId12" Type="http://schemas.openxmlformats.org/officeDocument/2006/relationships/hyperlink" Target="word-choice.qmd" TargetMode="External"/><Relationship Id="rId24" Type="http://schemas.openxmlformats.org/officeDocument/2006/relationships/hyperlink" Target="word-choice.qmd#avoid-vague-and-metaphorical-language" TargetMode="External"/><Relationship Id="rId2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citations-evidence.qmd" TargetMode="External"/><Relationship Id="rId23" Type="http://schemas.openxmlformats.org/officeDocument/2006/relationships/hyperlink" Target="conciseness.qmd#lead-with-the-subject" TargetMode="External"/><Relationship Id="rId21" Type="http://schemas.openxmlformats.org/officeDocument/2006/relationships/hyperlink" Target="grammar.qmd#demonstrative-pronouns" TargetMode="External"/><Relationship Id="rId17" Type="http://schemas.openxmlformats.org/officeDocument/2006/relationships/hyperlink" Target="https://morrison-lab.github.io/lds/chapters/linear-regression.html" TargetMode="External"/><Relationship Id="rId12" Type="http://schemas.openxmlformats.org/officeDocument/2006/relationships/hyperlink" Target="word-choice.qmd" TargetMode="External"/><Relationship Id="rId24" Type="http://schemas.openxmlformats.org/officeDocument/2006/relationships/hyperlink" Target="word-choice.qmd#avoid-vague-and-metaphorical-language" TargetMode="External"/><Relationship Id="rId2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2026-10-12T21:49:34Z</dcterms:created>
  <dcterms:modified xsi:type="dcterms:W3CDTF">2026-10-12T21:49:34Z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2026-10-12 14:46:54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