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12:11:55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5" w:name="avoid-forward-references"/>
    <w:p>
      <w:pPr>
        <w:pStyle w:val="Heading2"/>
      </w:pPr>
      <w:r>
        <w:t xml:space="preserve">5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8"/>
        </w:numPr>
      </w:pPr>
      <w:r>
        <w:t xml:space="preserve">“as discussed below”</w:t>
      </w:r>
    </w:p>
    <w:p>
      <w:pPr>
        <w:pStyle w:val="Compact"/>
        <w:numPr>
          <w:ilvl w:val="0"/>
          <w:numId w:val="1008"/>
        </w:numPr>
      </w:pPr>
      <w:r>
        <w:t xml:space="preserve">“see the next section”</w:t>
      </w:r>
    </w:p>
    <w:p>
      <w:pPr>
        <w:pStyle w:val="Compact"/>
        <w:numPr>
          <w:ilvl w:val="0"/>
          <w:numId w:val="1008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4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4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09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09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5"/>
    <w:bookmarkStart w:id="26" w:name="links-to-videos-and-other-media"/>
    <w:p>
      <w:pPr>
        <w:pStyle w:val="Heading2"/>
      </w:pPr>
      <w:r>
        <w:t xml:space="preserve">6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0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0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0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0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2026-10-14T19:15:43Z</dcterms:created>
  <dcterms:modified xsi:type="dcterms:W3CDTF">2026-10-14T19:15:43Z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