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del w:id="1" w:author="PR Preview" w:date="2026-01-01T00:00:00Z">
        <w:r>
          <w:delText xml:space="preserve">Last modified: 2026-10-27 21:52:02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00:07:23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7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distributes the sum over the terms,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19" w:name="name-a-step-by-its-standard-rule"/>
    <w:p>
      <w:pPr>
        <w:pStyle w:val="Heading3"/>
      </w:pPr>
      <w:r>
        <w:t xml:space="preserve">2.1 Name a step by its standard rule</w:t>
      </w:r>
    </w:p>
    <w:p>
      <w:pPr>
        <w:pStyle w:val="FirstParagraph"/>
      </w:pPr>
      <w:r>
        <w:t xml:space="preserve">Justify a line with the standard name of the rule it applies,</w:t>
      </w:r>
      <w:r>
        <w:t xml:space="preserve"> </w:t>
      </w:r>
      <w:r>
        <w:t xml:space="preserve">not an informal description of what it does to the symbols.</w:t>
      </w:r>
      <w:r>
        <w:t xml:space="preserve"> </w:t>
      </w:r>
      <w:r>
        <w:t xml:space="preserve">Write</w:t>
      </w:r>
      <w:r>
        <w:t xml:space="preserve"> </w:t>
      </w:r>
      <w:r>
        <w:t xml:space="preserve">“distribute the sum over the terms”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“split the sum”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“factor the constant out of the sum”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“pull out the constant”</w:t>
      </w:r>
      <w:r>
        <w:t xml:space="preserve">.</w:t>
      </w:r>
      <w:r>
        <w:t xml:space="preserve"> </w:t>
      </w:r>
      <w:r>
        <w:t xml:space="preserve">A standard name tells the reader which rule to check the line against;</w:t>
      </w:r>
      <w:r>
        <w:t xml:space="preserve"> </w:t>
      </w:r>
      <w:r>
        <w:t xml:space="preserve">an informal one only describes the change.</w:t>
      </w:r>
    </w:p>
    <w:bookmarkEnd w:id="19"/>
    <w:bookmarkStart w:id="21" w:name="applying-a-definition-is-a-step"/>
    <w:p>
      <w:pPr>
        <w:pStyle w:val="Heading3"/>
      </w:pPr>
      <w:r>
        <w:t xml:space="preserve">2.2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This replacement applies the general rules to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20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20"/>
    <w:bookmarkEnd w:id="21"/>
    <w:bookmarkStart w:id="22" w:name="using-a-fact-the-reader-has-not-seen"/>
    <w:p>
      <w:pPr>
        <w:pStyle w:val="Heading3"/>
      </w:pPr>
      <w:r>
        <w:t xml:space="preserve">2.3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2"/>
    <w:bookmarkStart w:id="26" w:name="long-derivations"/>
    <w:p>
      <w:pPr>
        <w:pStyle w:val="Heading3"/>
      </w:pPr>
      <w:r>
        <w:t xml:space="preserve">2.4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3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encounters the inner derivative first</w:t>
      </w:r>
      <w:r>
        <w:t xml:space="preserve"> </w:t>
      </w:r>
      <w:r>
        <w:t xml:space="preserve">does not yet know what it is for.</w:t>
      </w:r>
    </w:p>
    <w:bookmarkEnd w:id="23"/>
    <w:bookmarkStart w:id="25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4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nor/>
              <m:sty m:val="p"/>
            </m:rPr>
            <m:t>MSE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</m:d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Separate blocks then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e</m:t>
                </m:r>
              </m:e>
            </m:acc>
          </m:den>
        </m:f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m:oMath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⊤</m:t>
            </m:r>
          </m:sup>
        </m:sSup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n</m:t>
                </m:r>
              </m:den>
            </m:f>
            <m:acc>
              <m:accPr>
                <m:chr m:val="̃"/>
              </m:accPr>
              <m:e>
                <m:r>
                  <m:t>e</m:t>
                </m:r>
              </m:e>
            </m:acc>
          </m:e>
        </m:d>
      </m:oMath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4"/>
    <w:bookmarkEnd w:id="25"/>
    <w:bookmarkEnd w:id="26"/>
    <w:bookmarkEnd w:id="27"/>
    <w:bookmarkStart w:id="30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9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9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30"/>
    <w:bookmarkStart w:id="32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1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1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2"/>
    <w:bookmarkStart w:id="37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3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34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5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6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6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7"/>
    <w:bookmarkStart w:id="40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8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8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 variance</w:t>
      </w:r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Name the kind of object in the words, too, not only in the symbol.</w:t>
      </w:r>
      <w:r>
        <w:t xml:space="preserve"> </w:t>
      </w:r>
      <w:r>
        <w:t xml:space="preserve">Call a random variable a</w:t>
      </w:r>
      <w:r>
        <w:t xml:space="preserve"> </w:t>
      </w:r>
      <w:r>
        <w:t xml:space="preserve">“variable”</w:t>
      </w:r>
      <w:r>
        <w:t xml:space="preserve">, such as</w:t>
      </w:r>
      <w:r>
        <w:t xml:space="preserve"> </w:t>
      </w:r>
      <w:r>
        <w:t xml:space="preserve">“the output variable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call a number a</w:t>
      </w:r>
      <w:r>
        <w:t xml:space="preserve"> </w:t>
      </w:r>
      <w:r>
        <w:t xml:space="preserve">“value”</w:t>
      </w:r>
      <w:r>
        <w:t xml:space="preserve">, such as</w:t>
      </w:r>
      <w:r>
        <w:t xml:space="preserve"> </w:t>
      </w:r>
      <w:r>
        <w:t xml:space="preserve">“the input value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Do not say</w:t>
      </w:r>
      <w:r>
        <w:t xml:space="preserve"> </w:t>
      </w:r>
      <w:r>
        <w:t xml:space="preserve">“fix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fixed”</w:t>
      </w:r>
      <w:r>
        <w:t xml:space="preserve">.</w:t>
      </w:r>
      <w:r>
        <w:t xml:space="preserve"> </w:t>
      </w:r>
      <w:r>
        <w:t xml:space="preserve">It does not say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held constant or a value you chose.</w:t>
      </w:r>
      <w:r>
        <w:t xml:space="preserve"> </w:t>
      </w:r>
      <w:r>
        <w:t xml:space="preserve">Say</w:t>
      </w:r>
      <w:r>
        <w:t xml:space="preserve"> </w:t>
      </w:r>
      <w:r>
        <w:t xml:space="preserve">“choose an input value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“take the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given”</w:t>
      </w:r>
      <w:r>
        <w:t xml:space="preserve">.</w:t>
      </w:r>
    </w:p>
    <w:bookmarkStart w:id="39" w:name="exm-variable-vs-value-in-words"/>
    <w:p>
      <w:pPr>
        <w:pStyle w:val="BodyText"/>
      </w:pPr>
      <w:r>
        <w:rPr>
          <w:b/>
          <w:bCs/>
        </w:rPr>
        <w:t xml:space="preserve">Example 10 (Naming a variable and its value in the words)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Fix an input</w:t>
      </w:r>
      <w:r>
        <w:t xml:space="preserve"> </w:t>
      </w:r>
      <m:oMath>
        <m:r>
          <m:t>x</m:t>
        </m:r>
      </m:oMath>
      <w:r>
        <w:t xml:space="preserve">, 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.</w:t>
      </w:r>
    </w:p>
    <w:p>
      <w:pPr>
        <w:pStyle w:val="BlockText"/>
      </w:pPr>
      <w:r>
        <w:t xml:space="preserve">✅ Choose an input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 the output variable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.</w:t>
      </w:r>
    </w:p>
    <w:p>
      <w:pPr>
        <w:pStyle w:val="FirstParagraph"/>
      </w:pPr>
      <w:r>
        <w:t xml:space="preserve">The ❌ version leaves the reader to work out</w:t>
      </w:r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number you choose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✅ version names the input as a value and the output as a variable,</w:t>
      </w:r>
      <w:r>
        <w:t xml:space="preserve"> </w:t>
      </w:r>
      <w:r>
        <w:t xml:space="preserve">which is what the symbols say.</w:t>
      </w:r>
    </w:p>
    <w:bookmarkEnd w:id="39"/>
    <w:p>
      <w:pPr>
        <w:pStyle w:val="BodyText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40"/>
    <w:bookmarkStart w:id="45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2" w:name="exm-name-matches-notation"/>
    <w:p>
      <w:pPr>
        <w:pStyle w:val="BodyText"/>
      </w:pPr>
      <w:r>
        <w:rPr>
          <w:b/>
          <w:bCs/>
        </w:rPr>
        <w:t xml:space="preserve">Example 11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2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Start w:id="44" w:name="label-every-inline-symbol"/>
    <w:p>
      <w:pPr>
        <w:pStyle w:val="Heading3"/>
      </w:pPr>
      <w:r>
        <w:t xml:space="preserve">7.1 Label every inline symbol</w:t>
      </w:r>
    </w:p>
    <w:p>
      <w:pPr>
        <w:pStyle w:val="FirstParagraph"/>
      </w:pPr>
      <w:r>
        <w:t xml:space="preserve">In prose, write a text label next to every inline math symbol.</w:t>
      </w:r>
      <w:r>
        <w:t xml:space="preserve"> </w:t>
      </w:r>
      <w:r>
        <w:t xml:space="preserve">The label tells the reader what the symbol stands for</w:t>
      </w:r>
      <w:r>
        <w:t xml:space="preserve"> </w:t>
      </w:r>
      <w:r>
        <w:t xml:space="preserve">without making them search for its definition.</w:t>
      </w:r>
      <w:r>
        <w:t xml:space="preserve"> </w:t>
      </w:r>
      <w:r>
        <w:t xml:space="preserve">Put the label before the symbol, as in</w:t>
      </w:r>
      <w:r>
        <w:t xml:space="preserve"> </w:t>
      </w:r>
      <w:r>
        <w:t xml:space="preserve">“the population noise variance,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.</w:t>
      </w:r>
    </w:p>
    <w:bookmarkStart w:id="43" w:name="exm-label-inline-symbol"/>
    <w:p>
      <w:pPr>
        <w:pStyle w:val="BodyText"/>
      </w:pPr>
      <w:r>
        <w:rPr>
          <w:b/>
          <w:bCs/>
        </w:rPr>
        <w:t xml:space="preserve">Example 12 (Labeling a symbol in a list of quantities)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BlockText"/>
      </w:pPr>
      <w:r>
        <w:t xml:space="preserve">✅ Which of the three quantities</w:t>
      </w:r>
      <w:r>
        <w:t xml:space="preserve"> </w:t>
      </w:r>
      <w:r>
        <w:t xml:space="preserve">(the squared bias, the variance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the population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FirstParagraph"/>
      </w:pPr>
      <w:r>
        <w:t xml:space="preserve">In the ❌ version, the reader sees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no word for it.</w:t>
      </w:r>
      <w:r>
        <w:t xml:space="preserve"> </w:t>
      </w:r>
      <w:r>
        <w:t xml:space="preserve">In the ✅ version, each quantity has a label,</w:t>
      </w:r>
      <w:r>
        <w:t xml:space="preserve"> </w:t>
      </w:r>
      <w:r>
        <w:t xml:space="preserve">and the symbol that follows the label confirms which quantity is meant.</w:t>
      </w:r>
    </w:p>
    <w:bookmarkEnd w:id="43"/>
    <w:bookmarkEnd w:id="44"/>
    <w:bookmarkEnd w:id="45"/>
    <w:bookmarkStart w:id="54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6" w:name="exm-use-shared-macro"/>
    <w:p>
      <w:pPr>
        <w:pStyle w:val="BodyText"/>
      </w:pPr>
      <w:r>
        <w:rPr>
          <w:b/>
          <w:bCs/>
        </w:rPr>
        <w:t xml:space="preserve">Example 13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6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7" w:name="exm-semantic-macro-name"/>
    <w:p>
      <w:pPr>
        <w:pStyle w:val="BodyText"/>
      </w:pPr>
      <w:r>
        <w:rPr>
          <w:b/>
          <w:bCs/>
        </w:rPr>
        <w:t xml:space="preserve">Example 14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7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48" w:name="exm-semantic-decorator"/>
    <w:p>
      <w:pPr>
        <w:pStyle w:val="BodyText"/>
      </w:pPr>
      <w:r>
        <w:rPr>
          <w:b/>
          <w:bCs/>
        </w:rPr>
        <w:t xml:space="preserve">Example 15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48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49" w:name="exm-semantic-font"/>
    <w:p>
      <w:pPr>
        <w:pStyle w:val="BodyText"/>
      </w:pPr>
      <w:r>
        <w:rPr>
          <w:b/>
          <w:bCs/>
        </w:rPr>
        <w:t xml:space="preserve">Example 16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49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50" w:name="exm-semantic-latin-letter"/>
    <w:p>
      <w:pPr>
        <w:pStyle w:val="BodyText"/>
      </w:pPr>
      <w:r>
        <w:rPr>
          <w:b/>
          <w:bCs/>
        </w:rPr>
        <w:t xml:space="preserve">Example 17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50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51" w:name="exm-named-quantity"/>
    <w:p>
      <w:pPr>
        <w:pStyle w:val="BodyText"/>
      </w:pPr>
      <w:r>
        <w:rPr>
          <w:b/>
          <w:bCs/>
        </w:rPr>
        <w:t xml:space="preserve">Example 18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51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52" w:name="exm-semantic-delimiter"/>
    <w:p>
      <w:pPr>
        <w:pStyle w:val="BodyText"/>
      </w:pPr>
      <w:r>
        <w:rPr>
          <w:b/>
          <w:bCs/>
        </w:rPr>
        <w:t xml:space="preserve">Example 19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52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encounters in the document’s notation table,</w:t>
      </w:r>
      <w:r>
        <w:t xml:space="preserve"> </w:t>
      </w:r>
      <w:r>
        <w:t xml:space="preserve">with its meaning.</w:t>
      </w:r>
    </w:p>
    <w:bookmarkStart w:id="53" w:name="exm-describe-symbol-not-macro"/>
    <w:p>
      <w:pPr>
        <w:pStyle w:val="BodyText"/>
      </w:pPr>
      <w:r>
        <w:rPr>
          <w:b/>
          <w:bCs/>
        </w:rPr>
        <w:t xml:space="preserve">Example 20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53"/>
    <w:bookmarkEnd w:id="54"/>
    <w:bookmarkStart w:id="57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5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6" w:name="exm-concise-expression"/>
    <w:p>
      <w:pPr>
        <w:pStyle w:val="BodyText"/>
      </w:pPr>
      <w:r>
        <w:rPr>
          <w:b/>
          <w:bCs/>
        </w:rPr>
        <w:t xml:space="preserve">Example 21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6"/>
    <w:p>
      <w:pPr>
        <w:pStyle w:val="BodyText"/>
      </w:pPr>
      <w:r>
        <w:t xml:space="preserve">Write each expression in its most compact form,</w:t>
      </w:r>
      <w:r>
        <w:t xml:space="preserve"> </w:t>
      </w:r>
      <w:r>
        <w:t xml:space="preserve">built from named sub-pieces that are defined separately.</w:t>
      </w:r>
      <w:r>
        <w:t xml:space="preserve"> </w:t>
      </w:r>
      <w:r>
        <w:t xml:space="preserve">Use one form per expression, and keep it simple.</w:t>
      </w:r>
      <w:r>
        <w:t xml:space="preserve"> </w:t>
      </w:r>
      <w:r>
        <w:t xml:space="preserve">For example, write the expected squared prediction error</w:t>
      </w:r>
      <w:r>
        <w:t xml:space="preserve"> </w:t>
      </w:r>
      <w:r>
        <w:t xml:space="preserve">as the squared bias plus the variance plus the residual variance,</w:t>
      </w:r>
      <w:r>
        <w:t xml:space="preserve"> </w:t>
      </w:r>
      <w:r>
        <w:t xml:space="preserve"> </w:t>
      </w:r>
      <w:r>
        <w:t xml:space="preserve">and define each of the three pieces on its own,</w:t>
      </w:r>
      <w:r>
        <w:t xml:space="preserve"> </w:t>
      </w:r>
      <w:r>
        <w:t xml:space="preserve">instead of expanding them inside the formula.</w:t>
      </w:r>
    </w:p>
    <w:p>
      <w:pPr>
        <w:pStyle w:val="BodyText"/>
      </w:pPr>
      <w:r>
        <w:t xml:space="preserve">Search the shared macros for the chunk before you write it by hand.</w:t>
      </w:r>
      <w:r>
        <w:t xml:space="preserve"> </w:t>
      </w:r>
      <w:r>
        <w:t xml:space="preserve">A macro often exists already,</w:t>
      </w:r>
      <w:r>
        <w:t xml:space="preserve"> </w:t>
      </w:r>
      <w:r>
        <w:t xml:space="preserve">and any expression spelled out in full that a macro or a shorter form could say</w:t>
      </w:r>
      <w:r>
        <w:t xml:space="preserve"> </w:t>
      </w:r>
      <w:r>
        <w:t xml:space="preserve">is the sign that nobody looked.</w:t>
      </w:r>
      <w:r>
        <w:t xml:space="preserve"> </w:t>
      </w:r>
      <w:r>
        <w:t xml:space="preserve">A difference is only the commonest case.</w:t>
      </w:r>
      <w:r>
        <w:t xml:space="preserve"> </w:t>
      </w:r>
      <w:r>
        <w:t xml:space="preserve">For example, an exercise wrote the left side of the bias–variance decomposition as</w:t>
      </w:r>
      <w:r>
        <w:t xml:space="preserve"> </w:t>
      </w:r>
      <w:r>
        <w:rPr>
          <w:rStyle w:val="VerbatimChar"/>
        </w:rPr>
        <w:t xml:space="preserve">\E{\paren{\newoutvar - \predvalf{\newpredval}}^2}</w:t>
      </w:r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\prederrf{\predvalf{\newpredval}}</w:t>
      </w:r>
      <w:r>
        <w:t xml:space="preserve"> </w:t>
      </w:r>
      <w:r>
        <w:t xml:space="preserve">names the same prediction error,</w:t>
      </w:r>
      <w:r>
        <w:t xml:space="preserve"> </w:t>
      </w:r>
      <w:r>
        <w:t xml:space="preserve">and the squared bias, written out the same way, has</w:t>
      </w:r>
      <w:r>
        <w:t xml:space="preserve"> </w:t>
      </w:r>
      <w:r>
        <w:rPr>
          <w:rStyle w:val="VerbatimChar"/>
        </w:rPr>
        <w:t xml:space="preserve">\biassymf</w:t>
      </w:r>
      <w:r>
        <w:t xml:space="preserve">.</w:t>
      </w:r>
      <w:r>
        <w:t xml:space="preserve"> </w:t>
      </w:r>
      <w:r>
        <w:t xml:space="preserve">When you find one such chunk, sweep the other notes repositories for it,</w:t>
      </w:r>
      <w:r>
        <w:t xml:space="preserve"> </w:t>
      </w:r>
      <w:r>
        <w:t xml:space="preserve">in small batches of one repository each.</w:t>
      </w:r>
    </w:p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7"/>
    <w:bookmarkStart w:id="59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 population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58" w:name="exm-abstract-unused-subexpressions"/>
    <w:p>
      <w:pPr>
        <w:pStyle w:val="BodyText"/>
      </w:pPr>
      <w:r>
        <w:rPr>
          <w:b/>
          <w:bCs/>
        </w:rPr>
        <w:t xml:space="preserve">Example 22 (Abstracting the population mean)</w:t>
      </w:r>
      <w:r>
        <w:t xml:space="preserve"> </w:t>
      </w:r>
      <w:r>
        <w:t xml:space="preserve">Suppose a derivation expands the variance 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μ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t>μ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In the ❌ version,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58"/>
    <w:bookmarkEnd w:id="59"/>
    <w:bookmarkStart w:id="61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60" w:name="exm-dot-product"/>
    <w:p>
      <w:pPr>
        <w:pStyle w:val="BodyText"/>
      </w:pPr>
      <w:r>
        <w:rPr>
          <w:b/>
          <w:bCs/>
        </w:rPr>
        <w:t xml:space="preserve">Example 23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60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61"/>
    <w:bookmarkStart w:id="62" w:name="Xcadec684a8c62d96e0cd09cc83a1974f58d7be5"/>
    <w:p>
      <w:pPr>
        <w:pStyle w:val="Heading2"/>
      </w:pPr>
      <w:r>
        <w:t xml:space="preserve">12 Using the notation that best represents the concept</w:t>
      </w:r>
    </w:p>
    <w:p>
      <w:pPr>
        <w:pStyle w:val="FirstParagraph"/>
      </w:pPr>
      <w:r>
        <w:t xml:space="preserve">Use the notation that best represents the concept being depicted.</w:t>
      </w:r>
      <w:r>
        <w:t xml:space="preserve"> </w:t>
      </w:r>
      <w:r>
        <w:t xml:space="preserve">Choose the symbol, the macro and the name by asking what the object is,</w:t>
      </w:r>
      <w:r>
        <w:t xml:space="preserve"> </w:t>
      </w:r>
      <w:r>
        <w:t xml:space="preserve">not by asking what is quicker to type or what the nearby text used.</w:t>
      </w:r>
      <w:r>
        <w:t xml:space="preserve"> </w:t>
      </w:r>
      <w:r>
        <w:t xml:space="preserve">A symbol that fits a different concept sends the reader to the wrong idea.</w:t>
      </w:r>
    </w:p>
    <w:p>
      <w:pPr>
        <w:pStyle w:val="BodyText"/>
      </w:pPr>
      <w:r>
        <w:t xml:space="preserve">The rules that follow are cases of this principle:</w:t>
      </w:r>
    </w:p>
    <w:p>
      <w:pPr>
        <w:pStyle w:val="Compact"/>
        <w:numPr>
          <w:ilvl w:val="0"/>
          <w:numId w:val="1013"/>
        </w:numPr>
      </w:pPr>
      <w:r>
        <w:t xml:space="preserve">The predictor matrix and the design matrix are different objects, so they get different symbols.</w:t>
      </w:r>
    </w:p>
    <w:p>
      <w:pPr>
        <w:pStyle w:val="Compact"/>
        <w:numPr>
          <w:ilvl w:val="0"/>
          <w:numId w:val="1013"/>
        </w:numPr>
      </w:pPr>
      <w:r>
        <w:t xml:space="preserve">The mean function is a mean, so it is</w:t>
      </w:r>
      <w:r>
        <w:t xml:space="preserve"> </w:t>
      </w:r>
      <m:oMath>
        <m:r>
          <m:t>μ</m:t>
        </m:r>
      </m:oMath>
      <w:r>
        <w:t xml:space="preserve">, not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fitted prediction function is a prediction function, so it is named as one, not as a fitted mean function.</w:t>
      </w:r>
    </w:p>
    <w:p>
      <w:pPr>
        <w:pStyle w:val="Compact"/>
        <w:numPr>
          <w:ilvl w:val="0"/>
          <w:numId w:val="1013"/>
        </w:numPr>
      </w:pPr>
      <w:r>
        <w:t xml:space="preserve">A reference formula is a general statement, so it is written in its general form, not for one example.</w:t>
      </w:r>
    </w:p>
    <w:p>
      <w:pPr>
        <w:pStyle w:val="FirstParagraph"/>
      </w:pPr>
      <w:r>
        <w:t xml:space="preserve">When no rule covers a case, ask the same question:</w:t>
      </w:r>
      <w:r>
        <w:t xml:space="preserve"> </w:t>
      </w:r>
      <w:r>
        <w:t xml:space="preserve">which symbol, name and form best represents the concept here?</w:t>
      </w:r>
      <w:r>
        <w:t xml:space="preserve"> </w:t>
      </w:r>
      <w:r>
        <w:t xml:space="preserve">Then record the answer as a rule, with this principle as its reason.</w:t>
      </w:r>
    </w:p>
    <w:bookmarkEnd w:id="62"/>
    <w:bookmarkStart w:id="64" w:name="X9857f22a379a2f58c5963942aa246933a5ce6a5"/>
    <w:p>
      <w:pPr>
        <w:pStyle w:val="Heading2"/>
      </w:pPr>
      <w:r>
        <w:t xml:space="preserve">13 Writing the predictor and design matrices</w:t>
      </w:r>
    </w:p>
    <w:p>
      <w:pPr>
        <w:pStyle w:val="FirstParagraph"/>
      </w:pPr>
      <w:r>
        <w:t xml:space="preserve">Write a matrix in matrix styling, not in the plain italic of a scalar.</w:t>
      </w:r>
      <w:r>
        <w:t xml:space="preserve"> </w:t>
      </w:r>
      <w:r>
        <w:t xml:space="preserve">This holds for the predictor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 every file you edit:</w:t>
      </w:r>
      <w:r>
        <w:t xml:space="preserve"> </w:t>
      </w:r>
      <w:r>
        <w:t xml:space="preserve">notes, assignments, solutions, slides and note sheets.</w:t>
      </w:r>
      <w:r>
        <w:t xml:space="preserve"> </w:t>
      </w:r>
      <w:r>
        <w:t xml:space="preserve">A plain italic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reads as a random variable or a single number.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predictor matrix with the matrix macro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BodyText"/>
      </w:pPr>
      <w:r>
        <w:t xml:space="preserve">Keep two objects apart, because they are not the same matrix: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predictor matrix</w:t>
      </w:r>
      <w:r>
        <w:t xml:space="preserve"> </w:t>
      </w:r>
      <w:r>
        <w:t xml:space="preserve">holds the raw inputs.</w:t>
      </w:r>
      <w:r>
        <w:t xml:space="preserve"> </w:t>
      </w:r>
      <w:r>
        <w:t xml:space="preserve">Its rows are the predictor vectors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design matrix</w:t>
      </w:r>
      <w:r>
        <w:t xml:space="preserve"> </w:t>
      </w:r>
      <w:r>
        <w:t xml:space="preserve">holds the inputs after any feature map and the intercept trick.</w:t>
      </w:r>
      <w:r>
        <w:t xml:space="preserve"> </w:t>
      </w:r>
      <w:r>
        <w:t xml:space="preserve">Its rows are the design vectors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\design(\mX)</w:t>
      </w:r>
      <w:r>
        <w:t xml:space="preserve">, or</w:t>
      </w:r>
      <w:r>
        <w:t xml:space="preserve"> </w:t>
      </w:r>
      <w:r>
        <w:rPr>
          <w:rStyle w:val="VerbatimChar"/>
        </w:rPr>
        <w:t xml:space="preserve">\design</w:t>
      </w:r>
      <w:r>
        <w:t xml:space="preserve"> </w:t>
      </w:r>
      <w:r>
        <w:t xml:space="preserve">for short.</w:t>
      </w:r>
    </w:p>
    <w:p>
      <w:pPr>
        <w:pStyle w:val="FirstParagraph"/>
      </w:pPr>
      <w:r>
        <w:t xml:space="preserve">The same split holds for one observation:</w:t>
      </w:r>
      <w:r>
        <w:t xml:space="preserve"> </w:t>
      </w:r>
      <w:r>
        <w:t xml:space="preserve">the predictor vector is</w:t>
      </w:r>
      <w:r>
        <w:t xml:space="preserve"> </w:t>
      </w:r>
      <w:r>
        <w:rPr>
          <w:rStyle w:val="VerbatimChar"/>
        </w:rPr>
        <w:t xml:space="preserve">\vx</w:t>
      </w:r>
      <w:r>
        <w:t xml:space="preserve">, and the design vector is</w:t>
      </w:r>
      <w:r>
        <w:t xml:space="preserve"> </w:t>
      </w:r>
      <w:r>
        <w:rPr>
          <w:rStyle w:val="VerbatimChar"/>
        </w:rPr>
        <w:t xml:space="preserve">\vfeatmap(\vx)</w:t>
      </w:r>
      <w:r>
        <w:t xml:space="preserve">.</w:t>
      </w:r>
      <w:r>
        <w:t xml:space="preserve"> </w:t>
      </w:r>
      <w:r>
        <w:t xml:space="preserve">Without a feature map or an intercept column,</w:t>
      </w:r>
      <w:r>
        <w:t xml:space="preserve"> </w:t>
      </w:r>
      <w:r>
        <w:t xml:space="preserve">the design matrix equals the predictor matrix, but say so rather than reuse one symbol for both.</w:t>
      </w:r>
    </w:p>
    <w:bookmarkStart w:id="63" w:name="exm-predictor-vs-design-matrix"/>
    <w:p>
      <w:pPr>
        <w:pStyle w:val="BodyText"/>
      </w:pPr>
      <w:r>
        <w:rPr>
          <w:b/>
          <w:bCs/>
        </w:rPr>
        <w:t xml:space="preserve">Example 24 (Predictor matrix and design matrix)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design matrix, and fit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predictor matrix and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the design matrix.</w:t>
      </w:r>
      <w:r>
        <w:t xml:space="preserve"> </w:t>
      </w:r>
      <w:r>
        <w:t xml:space="preserve">The fitted coefficients solve the normal equations for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✅ version shows which matrix holds the raw inputs</w:t>
      </w:r>
      <w:r>
        <w:t xml:space="preserve"> </w:t>
      </w:r>
      <w:r>
        <w:t xml:space="preserve">and which holds the columns the model uses.</w:t>
      </w:r>
    </w:p>
    <w:bookmarkEnd w:id="63"/>
    <w:bookmarkEnd w:id="64"/>
    <w:bookmarkStart w:id="66" w:name="stating-formulas-in-their-general-form"/>
    <w:p>
      <w:pPr>
        <w:pStyle w:val="Heading2"/>
      </w:pPr>
      <w:r>
        <w:t xml:space="preserve">14 Stating formulas in their general form</w:t>
      </w:r>
    </w:p>
    <w:p>
      <w:pPr>
        <w:pStyle w:val="FirstParagraph"/>
      </w:pPr>
      <w:r>
        <w:t xml:space="preserve">On a reference sheet, a formula sheet or a summary,</w:t>
      </w:r>
      <w:r>
        <w:t xml:space="preserve"> </w:t>
      </w:r>
      <w:r>
        <w:t xml:space="preserve">state each formula in its general form.</w:t>
      </w:r>
      <w:r>
        <w:t xml:space="preserve"> </w:t>
      </w:r>
      <w:r>
        <w:t xml:space="preserve">Do not state it only for a specific example.</w:t>
      </w:r>
      <w:r>
        <w:t xml:space="preserve"> </w:t>
      </w:r>
      <w:r>
        <w:t xml:space="preserve">A reader looks a formula up to apply it to a new case,</w:t>
      </w:r>
      <w:r>
        <w:t xml:space="preserve"> </w:t>
      </w:r>
      <w:r>
        <w:t xml:space="preserve">and an example shows only one case.</w:t>
      </w:r>
    </w:p>
    <w:bookmarkStart w:id="65" w:name="exm-general-form-formula"/>
    <w:p>
      <w:pPr>
        <w:pStyle w:val="BodyText"/>
      </w:pPr>
      <w:r>
        <w:rPr>
          <w:b/>
          <w:bCs/>
        </w:rPr>
        <w:t xml:space="preserve">Example 25 (Stating the chain rule)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(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w</m:t>
            </m:r>
          </m:den>
        </m:f>
        <m:r>
          <m:rPr>
            <m:sty m:val="p"/>
          </m:rPr>
          <m:t>=</m:t>
        </m:r>
        <m:r>
          <m:t>2</m:t>
        </m:r>
        <m:r>
          <m:t>u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w</m:t>
            </m:r>
          </m:den>
        </m:f>
      </m:oMath>
    </w:p>
    <w:p>
      <w:pPr>
        <w:pStyle w:val="BlockText"/>
      </w:pPr>
      <w:r>
        <w:t xml:space="preserve">✅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w</m:t>
            </m:r>
          </m:den>
        </m:f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w</m:t>
            </m:r>
          </m:den>
        </m:f>
      </m:oMath>
    </w:p>
    <w:p>
      <w:pPr>
        <w:pStyle w:val="FirstParagraph"/>
      </w:pPr>
      <w:r>
        <w:t xml:space="preserve">The ❌ line is the chain rule for squaring only.</w:t>
      </w:r>
      <w:r>
        <w:t xml:space="preserve"> </w:t>
      </w:r>
      <w:r>
        <w:t xml:space="preserve">The ✅ line holds for every differentiable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squaring case follows by taking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u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65"/>
    <w:p>
      <w:pPr>
        <w:pStyle w:val="BodyText"/>
      </w:pPr>
      <w:r>
        <w:t xml:space="preserve">Put a specific case on the sheet only as a labeled example next to the general formula.</w:t>
      </w:r>
    </w:p>
    <w:bookmarkEnd w:id="66"/>
    <w:bookmarkStart w:id="68" w:name="X7f8c42fa04e60987c7b1508a72c3ab256e37ba7"/>
    <w:p>
      <w:pPr>
        <w:pStyle w:val="Heading2"/>
      </w:pPr>
      <w:r>
        <w:t xml:space="preserve">15 Writing the mean function and the prediction function</w:t>
      </w:r>
    </w:p>
    <w:p>
      <w:pPr>
        <w:pStyle w:val="FirstParagraph"/>
      </w:pPr>
      <w:r>
        <w:t xml:space="preserve">Write the mean function as</w:t>
      </w:r>
      <w:r>
        <w:t xml:space="preserve"> </w:t>
      </w:r>
      <m:oMath>
        <m:r>
          <m:t>μ</m:t>
        </m:r>
      </m:oMath>
      <w:r>
        <w:t xml:space="preserve">, not as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 mean function is the population mean of the outcome given the inputs,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\truemeanf{x}</w:t>
      </w:r>
      <w:r>
        <w:t xml:space="preserve">.</w:t>
      </w:r>
    </w:p>
    <w:p>
      <w:pPr>
        <w:pStyle w:val="BodyText"/>
      </w:pPr>
      <w:r>
        <w:t xml:space="preserve">Name the object you mean.</w:t>
      </w:r>
      <w:r>
        <w:t xml:space="preserve"> </w:t>
      </w:r>
      <w:r>
        <w:t xml:space="preserve">When the text refers to the fitted prediction function as a concept,</w:t>
      </w:r>
      <w:r>
        <w:t xml:space="preserve"> </w:t>
      </w:r>
      <w:r>
        <w:t xml:space="preserve">the rule that turns an input into a predicted outcome,</w:t>
      </w:r>
      <w:r>
        <w:t xml:space="preserve"> </w:t>
      </w:r>
      <w:r>
        <w:t xml:space="preserve">write the fitted prediction function, not the fitted mean function.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\epredfnf{x}</w:t>
      </w:r>
      <w:r>
        <w:t xml:space="preserve"> </w:t>
      </w:r>
      <w:r>
        <w:t xml:space="preserve">(symbol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) for an estimated one, or</w:t>
      </w:r>
      <w:r>
        <w:t xml:space="preserve"> </w:t>
      </w:r>
      <w:r>
        <w:rPr>
          <w:rStyle w:val="VerbatimChar"/>
        </w:rPr>
        <w:t xml:space="preserve">\predfnf{x}</w:t>
      </w:r>
      <w:r>
        <w:t xml:space="preserve"> </w:t>
      </w:r>
      <w:r>
        <w:t xml:space="preserve">(symbol</w:t>
      </w:r>
      <w:r>
        <w:t xml:space="preserve"> </w:t>
      </w:r>
      <m:oMath>
        <m:r>
          <m:t>f</m:t>
        </m:r>
      </m:oMath>
      <w:r>
        <w:t xml:space="preserve">) for any prediction function.</w:t>
      </w:r>
      <w:r>
        <w:t xml:space="preserve"> </w:t>
      </w:r>
      <w:r>
        <w:t xml:space="preserve">Use the fitted or estimated mean function only where the text is about</w:t>
      </w:r>
      <w:r>
        <w:t xml:space="preserve"> </w:t>
      </w:r>
      <w:r>
        <w:t xml:space="preserve">estimating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itself.</w:t>
      </w:r>
    </w:p>
    <w:bookmarkStart w:id="67" w:name="exm-mean-vs-prediction-function"/>
    <w:p>
      <w:pPr>
        <w:pStyle w:val="BodyText"/>
      </w:pPr>
      <w:r>
        <w:rPr>
          <w:b/>
          <w:bCs/>
        </w:rPr>
        <w:t xml:space="preserve">Example 26 (Mean function and fitted prediction function)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expected squared error of the fitted mean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BlockText"/>
      </w:pPr>
      <w:r>
        <w:t xml:space="preserve">✅ The expected squared error of the fitted prediction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f</m:t>
                    </m:r>
                  </m:e>
                </m:acc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its bias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✅ version names the fitted prediction function where the concept is a prediction,</w:t>
      </w:r>
      <w:r>
        <w:t xml:space="preserve"> </w:t>
      </w:r>
      <w:r>
        <w:t xml:space="preserve">and keeps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the mean it is compared with.</w:t>
      </w:r>
    </w:p>
    <w:bookmarkEnd w:id="67"/>
    <w:bookmarkEnd w:id="68"/>
    <w:bookmarkStart w:id="71" w:name="writing-out-notational-shorthands"/>
    <w:p>
      <w:pPr>
        <w:pStyle w:val="Heading2"/>
      </w:pPr>
      <w:r>
        <w:t xml:space="preserve">16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70" w:name="exm-notational-shorthand"/>
    <w:p>
      <w:pPr>
        <w:pStyle w:val="BodyText"/>
      </w:pPr>
      <w:r>
        <w:rPr>
          <w:b/>
          <w:bCs/>
        </w:rPr>
        <w:t xml:space="preserve">Example 27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70"/>
    <w:bookmarkEnd w:id="71"/>
    <w:bookmarkStart w:id="76" w:name="stating-assumptions-before-using-them"/>
    <w:p>
      <w:pPr>
        <w:pStyle w:val="Heading2"/>
      </w:pPr>
      <w:r>
        <w:t xml:space="preserve">17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5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w:r>
        <w:t xml:space="preserve">a hypothesis of a theorem;</w:t>
      </w:r>
    </w:p>
    <w:p>
      <w:pPr>
        <w:pStyle w:val="Compact"/>
        <w:numPr>
          <w:ilvl w:val="0"/>
          <w:numId w:val="1015"/>
        </w:numPr>
      </w:pPr>
      <w:r>
        <w:t xml:space="preserve">a case split;</w:t>
      </w:r>
    </w:p>
    <w:p>
      <w:pPr>
        <w:pStyle w:val="Compact"/>
        <w:numPr>
          <w:ilvl w:val="0"/>
          <w:numId w:val="1015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p>
      <w:pPr>
        <w:pStyle w:val="BodyText"/>
      </w:pPr>
      <w:r>
        <w:t xml:space="preserve">An assumptions list and a notation list are different lists:</w:t>
      </w:r>
    </w:p>
    <w:p>
      <w:pPr>
        <w:pStyle w:val="Compact"/>
        <w:numPr>
          <w:ilvl w:val="0"/>
          <w:numId w:val="1016"/>
        </w:numPr>
      </w:pPr>
      <w:r>
        <w:t xml:space="preserve">An assumptions list states conditions that the result depends on.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“Assume:”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notation list names objects.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“Let:”</w:t>
      </w:r>
      <w:r>
        <w:t xml:space="preserve">.</w:t>
      </w:r>
    </w:p>
    <w:p>
      <w:pPr>
        <w:pStyle w:val="FirstParagraph"/>
      </w:pPr>
      <w:r>
        <w:t xml:space="preserve">A condition that can fail is an assumption.</w:t>
      </w:r>
      <w:r>
        <w:t xml:space="preserve"> </w:t>
      </w:r>
      <w:r>
        <w:t xml:space="preserve">A parametrization is not:</w:t>
      </w:r>
      <w:r>
        <w:t xml:space="preserve"> </w:t>
      </w:r>
      <w:r>
        <w:t xml:space="preserve">it writes a quantity in terms of named parameters or pieces,</w:t>
      </w:r>
      <w:r>
        <w:t xml:space="preserve"> </w:t>
      </w:r>
      <w:r>
        <w:t xml:space="preserve">so it holds by definition and goes under</w:t>
      </w:r>
      <w:r>
        <w:t xml:space="preserve"> </w:t>
      </w:r>
      <w:r>
        <w:t xml:space="preserve">“Let:”</w:t>
      </w:r>
      <w:r>
        <w:t xml:space="preserve">.</w:t>
      </w:r>
      <w:r>
        <w:t xml:space="preserve"> </w:t>
      </w:r>
      <w:r>
        <w:t xml:space="preserve">Do not label a parametrization as an assumption,</w:t>
      </w:r>
      <w:r>
        <w:t xml:space="preserve"> </w:t>
      </w:r>
      <w:r>
        <w:t xml:space="preserve">because that tells the reader a condition is being imposed when none is.</w:t>
      </w:r>
    </w:p>
    <w:p>
      <w:pPr>
        <w:pStyle w:val="BodyText"/>
      </w:pPr>
      <w:r>
        <w:t xml:space="preserve">Write the lead-in word once, before the list,</w:t>
      </w:r>
      <w:r>
        <w:t xml:space="preserve"> </w:t>
      </w:r>
      <w:r>
        <w:t xml:space="preserve">and make each bullet complete the lead-in sentence.</w:t>
      </w:r>
      <w:r>
        <w:t xml:space="preserve"> </w:t>
      </w:r>
      <w:r>
        <w:t xml:space="preserve">Do not repeat the word in every bullet,</w:t>
      </w:r>
      <w:r>
        <w:t xml:space="preserve"> </w:t>
      </w:r>
      <w:r>
        <w:t xml:space="preserve">and do not mix the two kinds of list in one list.</w:t>
      </w:r>
      <w:r>
        <w:t xml:space="preserve"> </w:t>
      </w:r>
      <w:r>
        <w:t xml:space="preserve">When both are needed,</w:t>
      </w:r>
      <w:r>
        <w:t xml:space="preserve"> </w:t>
      </w:r>
      <w:r>
        <w:t xml:space="preserve">write the notation list first,</w:t>
      </w:r>
      <w:r>
        <w:t xml:space="preserve"> </w:t>
      </w:r>
      <w:r>
        <w:t xml:space="preserve">because the assumptions use the names it introduces.</w:t>
      </w:r>
    </w:p>
    <w:bookmarkStart w:id="72" w:name="exm-assumptions-first"/>
    <w:p>
      <w:pPr>
        <w:pStyle w:val="BodyText"/>
      </w:pPr>
      <w:r>
        <w:rPr>
          <w:b/>
          <w:bCs/>
        </w:rPr>
        <w:t xml:space="preserve">Example 28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72"/>
    <w:bookmarkStart w:id="73" w:name="exm-assumptions-bullet-list"/>
    <w:p>
      <w:pPr>
        <w:pStyle w:val="BodyText"/>
      </w:pPr>
      <w:r>
        <w:rPr>
          <w:b/>
          <w:bCs/>
        </w:rPr>
        <w:t xml:space="preserve">Example 29 (Writing several assumptions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.</w:t>
      </w:r>
      <w:r>
        <w:t xml:space="preserve"> </w:t>
      </w:r>
      <w:r>
        <w:t xml:space="preserve">Assume the observations are independent.</w:t>
      </w:r>
      <w:r>
        <w:t xml:space="preserve"> </w:t>
      </w:r>
      <w:r>
        <w:t xml:space="preserve">Assume 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BlockText"/>
      </w:pPr>
      <w:r>
        <w:t xml:space="preserve">✅ Assume:</w:t>
      </w:r>
    </w:p>
    <w:p>
      <w:pPr>
        <w:pStyle w:val="Compact"/>
        <w:numPr>
          <w:ilvl w:val="0"/>
          <w:numId w:val="1017"/>
        </w:numPr>
      </w:pPr>
      <w:r>
        <w:t xml:space="preserve">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,</w:t>
      </w:r>
    </w:p>
    <w:p>
      <w:pPr>
        <w:pStyle w:val="Compact"/>
        <w:numPr>
          <w:ilvl w:val="0"/>
          <w:numId w:val="1017"/>
        </w:numPr>
      </w:pPr>
      <w:r>
        <w:t xml:space="preserve">the observations are independent, and</w:t>
      </w:r>
    </w:p>
    <w:p>
      <w:pPr>
        <w:pStyle w:val="Compact"/>
        <w:numPr>
          <w:ilvl w:val="0"/>
          <w:numId w:val="1017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 ✅ version writes</w:t>
      </w:r>
      <w:r>
        <w:t xml:space="preserve"> </w:t>
      </w:r>
      <w:r>
        <w:t xml:space="preserve">“Assume”</w:t>
      </w:r>
      <w:r>
        <w:t xml:space="preserve"> </w:t>
      </w:r>
      <w:r>
        <w:t xml:space="preserve">once,</w:t>
      </w:r>
      <w:r>
        <w:t xml:space="preserve"> </w:t>
      </w:r>
      <w:r>
        <w:t xml:space="preserve">and the bullets show that the three assumptions are parallel and separate.</w:t>
      </w:r>
    </w:p>
    <w:bookmarkEnd w:id="73"/>
    <w:bookmarkStart w:id="74" w:name="exm-notation-bullet-list"/>
    <w:p>
      <w:pPr>
        <w:pStyle w:val="BodyText"/>
      </w:pPr>
      <w:r>
        <w:rPr>
          <w:b/>
          <w:bCs/>
        </w:rPr>
        <w:t xml:space="preserve">Example 30 (Writing several names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sample size.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8"/>
        </w:numPr>
      </w:pPr>
      <m:oMath>
        <m:r>
          <m:t>n</m:t>
        </m:r>
      </m:oMath>
      <w:r>
        <w:t xml:space="preserve"> </w:t>
      </w:r>
      <w:r>
        <w:t xml:space="preserve">be the sample size,</w:t>
      </w:r>
    </w:p>
    <w:p>
      <w:pPr>
        <w:pStyle w:val="Compact"/>
        <w:numPr>
          <w:ilvl w:val="0"/>
          <w:numId w:val="1018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mean, and</w:t>
      </w:r>
    </w:p>
    <w:p>
      <w:pPr>
        <w:pStyle w:val="Compact"/>
        <w:numPr>
          <w:ilvl w:val="0"/>
          <w:numId w:val="1018"/>
        </w:numPr>
      </w:pP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FirstParagraph"/>
      </w:pPr>
      <w:r>
        <w:t xml:space="preserve">These bullets name objects and assume nothing about them,</w:t>
      </w:r>
      <w:r>
        <w:t xml:space="preserve"> </w:t>
      </w:r>
      <w:r>
        <w:t xml:space="preserve">so this is a notation list.</w:t>
      </w:r>
      <w:r>
        <w:t xml:space="preserve"> </w:t>
      </w:r>
      <w:r>
        <w:t xml:space="preserve">If the result also needed a condition such as a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</w:t>
      </w:r>
      <w:r>
        <w:t xml:space="preserve"> </w:t>
      </w:r>
      <m:oMath>
        <m:r>
          <m:t>30</m:t>
        </m:r>
      </m:oMath>
      <w:r>
        <w:t xml:space="preserve">,</w:t>
      </w:r>
      <w:r>
        <w:t xml:space="preserve"> </w:t>
      </w:r>
      <w:r>
        <w:t xml:space="preserve">a separate assumptions list after this one would state it.</w:t>
      </w:r>
    </w:p>
    <w:bookmarkEnd w:id="74"/>
    <w:bookmarkStart w:id="75" w:name="exm-parametrization-is-notation"/>
    <w:p>
      <w:pPr>
        <w:pStyle w:val="BodyText"/>
      </w:pPr>
      <w:r>
        <w:rPr>
          <w:b/>
          <w:bCs/>
        </w:rPr>
        <w:t xml:space="preserve">Example 31 (Defining the noise is a parametrization, not an assumption)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Assume:</w:t>
      </w:r>
    </w:p>
    <w:p>
      <w:pPr>
        <w:pStyle w:val="Compact"/>
        <w:numPr>
          <w:ilvl w:val="0"/>
          <w:numId w:val="1019"/>
        </w:numPr>
      </w:pPr>
      <w:r>
        <w:t xml:space="preserve">the outcome variable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, and</w:t>
      </w:r>
    </w:p>
    <w:p>
      <w:pPr>
        <w:pStyle w:val="Compact"/>
        <w:numPr>
          <w:ilvl w:val="0"/>
          <w:numId w:val="1019"/>
        </w:numPr>
      </w:pPr>
      <w:r>
        <w:t xml:space="preserve">the noise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population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20"/>
        </w:numPr>
      </w:pP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population mean of the outcome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the input value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Compact"/>
        <w:numPr>
          <w:ilvl w:val="0"/>
          <w:numId w:val="1020"/>
        </w:numPr>
      </w:pP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noise variable.</w:t>
      </w:r>
    </w:p>
    <w:p>
      <w:pPr>
        <w:pStyle w:val="BlockText"/>
      </w:pP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and the population mean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FirstParagraph"/>
      </w:pPr>
      <w:r>
        <w:t xml:space="preserve">In the ❌ version, the reader is told that the decomposition and the zero mean are conditions on the data.</w:t>
      </w:r>
      <w:r>
        <w:t xml:space="preserve"> </w:t>
      </w:r>
      <w:r>
        <w:t xml:space="preserve">They are not.</w:t>
      </w:r>
      <w:r>
        <w:t xml:space="preserve"> </w:t>
      </w:r>
      <w:r>
        <w:t xml:space="preserve">Defining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makes both statements true</w:t>
      </w:r>
      <w:r>
        <w:t xml:space="preserve"> </w:t>
      </w:r>
      <w:r>
        <w:t xml:space="preserve">for every distribution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that has a finite population mean.</w:t>
      </w:r>
      <w:r>
        <w:t xml:space="preserve"> </w:t>
      </w:r>
      <w:r>
        <w:t xml:space="preserve">The ✅ version puts the definitions under</w:t>
      </w:r>
      <w:r>
        <w:t xml:space="preserve"> </w:t>
      </w:r>
      <w:r>
        <w:t xml:space="preserve">“Let:”</w:t>
      </w:r>
      <w:r>
        <w:t xml:space="preserve"> </w:t>
      </w:r>
      <w:r>
        <w:t xml:space="preserve">and derives the zero mean.</w:t>
      </w:r>
      <w:r>
        <w:t xml:space="preserve"> </w:t>
      </w:r>
      <w:r>
        <w:t xml:space="preserve">A real assumption, such as the noise variable being independent of the input value,</w:t>
      </w:r>
      <w:r>
        <w:t xml:space="preserve"> </w:t>
      </w:r>
      <w:r>
        <w:t xml:space="preserve">can fail, so it belongs under</w:t>
      </w:r>
      <w:r>
        <w:t xml:space="preserve"> </w:t>
      </w:r>
      <w:r>
        <w:t xml:space="preserve">“Assume:”</w:t>
      </w:r>
      <w:r>
        <w:t xml:space="preserve">.</w:t>
      </w:r>
    </w:p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7" Type="http://schemas.openxmlformats.org/officeDocument/2006/relationships/hyperlink" Target="citations-evidence.qmd#trivial-and-trivially" TargetMode="External"/><Relationship Id="rId41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https://morrison-lab.github.io/mds/functions.html#def-codomain" TargetMode="External"/><Relationship Id="rId34" Type="http://schemas.openxmlformats.org/officeDocument/2006/relationships/hyperlink" Target="https://morrison-lab.github.io/mds/functions.html#def-domain" TargetMode="External"/><Relationship Id="rId33" Type="http://schemas.openxmlformats.org/officeDocument/2006/relationships/hyperlink" Target="https://morrison-lab.github.io/mds/functions.html#def-function" TargetMode="External"/><Relationship Id="rId69" Type="http://schemas.openxmlformats.org/officeDocument/2006/relationships/hyperlink" Target="https://morrison-lab.github.io/mds/notation.html#sec-notational-shorthands" TargetMode="External"/><Relationship Id="rId28" Type="http://schemas.openxmlformats.org/officeDocument/2006/relationships/hyperlink" Target="notation.qmd#one-operation-per-step" TargetMode="External"/><Relationship Id="rId55" Type="http://schemas.openxmlformats.org/officeDocument/2006/relationships/hyperlink" Target="teaching.qmd#build-every-unit-from-smaller-atomic-units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citations-evidence.qmd#trivial-and-trivially" TargetMode="External"/><Relationship Id="rId41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https://morrison-lab.github.io/mds/functions.html#def-codomain" TargetMode="External"/><Relationship Id="rId34" Type="http://schemas.openxmlformats.org/officeDocument/2006/relationships/hyperlink" Target="https://morrison-lab.github.io/mds/functions.html#def-domain" TargetMode="External"/><Relationship Id="rId33" Type="http://schemas.openxmlformats.org/officeDocument/2006/relationships/hyperlink" Target="https://morrison-lab.github.io/mds/functions.html#def-function" TargetMode="External"/><Relationship Id="rId69" Type="http://schemas.openxmlformats.org/officeDocument/2006/relationships/hyperlink" Target="https://morrison-lab.github.io/mds/notation.html#sec-notational-shorthands" TargetMode="External"/><Relationship Id="rId28" Type="http://schemas.openxmlformats.org/officeDocument/2006/relationships/hyperlink" Target="notation.qmd#one-operation-per-step" TargetMode="External"/><Relationship Id="rId55" Type="http://schemas.openxmlformats.org/officeDocument/2006/relationships/hyperlink" Target="teaching.qmd#build-every-unit-from-smaller-atomic-uni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2026-10-28T07:11:37Z</dcterms:created>
  <dcterms:modified xsi:type="dcterms:W3CDTF">2026-10-28T07:11:37Z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00:07:23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