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expects to see the notation for an inner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inner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inner product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⟩</m:t>
        </m:r>
      </m:oMath>
      <w:r>
        <w:t xml:space="preserve">.</w:t>
      </w:r>
    </w:p>
    <w:p>
      <w:pPr>
        <w:pStyle w:val="FirstParagraph"/>
      </w:pPr>
      <w:r>
        <w:t xml:space="preserve">The ❌ version names an inner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inner product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⟩</m:t>
        </m:r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8" w:name="writing-out-notational-shorthands"/>
    <w:p>
      <w:pPr>
        <w:pStyle w:val="Heading2"/>
      </w:pPr>
      <w:r>
        <w:t xml:space="preserve">5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7" w:name="exm-notational-shorthand"/>
    <w:p>
      <w:pPr>
        <w:pStyle w:val="BodyText"/>
      </w:pPr>
      <w:r>
        <w:rPr>
          <w:b/>
          <w:bCs/>
        </w:rPr>
        <w:t xml:space="preserve">Example 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26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26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2026-10-08T20:32:24Z</dcterms:created>
  <dcterms:modified xsi:type="dcterms:W3CDTF">2026-10-08T20:32:24Z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