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2026-10-13 16:34:00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standard-paper-structure"/>
    <w:p>
      <w:pPr>
        <w:pStyle w:val="Heading2"/>
      </w:pPr>
      <w:r>
        <w:t xml:space="preserve">1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9"/>
    <w:bookmarkStart w:id="16" w:name="organizing-the-results-section"/>
    <w:p>
      <w:pPr>
        <w:pStyle w:val="Heading2"/>
      </w:pPr>
      <w:r>
        <w:t xml:space="preserve">2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0" w:name="single-outcome-studies"/>
    <w:p>
      <w:pPr>
        <w:pStyle w:val="Heading3"/>
      </w:pPr>
      <w:r>
        <w:t xml:space="preserve">2.1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2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2"/>
        </w:numPr>
      </w:pPr>
      <w:r>
        <w:t xml:space="preserve">Main analysis results</w:t>
      </w:r>
    </w:p>
    <w:p>
      <w:pPr>
        <w:pStyle w:val="Compact"/>
        <w:numPr>
          <w:ilvl w:val="0"/>
          <w:numId w:val="1002"/>
        </w:numPr>
      </w:pPr>
      <w:r>
        <w:t xml:space="preserve">Sensitivity analyses or subgroup analyses</w:t>
      </w:r>
    </w:p>
    <w:bookmarkEnd w:id="10"/>
    <w:bookmarkStart w:id="15" w:name="multiple-outcomes-analyzed-separately"/>
    <w:p>
      <w:pPr>
        <w:pStyle w:val="Heading3"/>
      </w:pPr>
      <w:r>
        <w:t xml:space="preserve">2.2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1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3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3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3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3"/>
        </w:numPr>
      </w:pPr>
      <w:r>
        <w:t xml:space="preserve">Navigate directly to outcomes of interest</w:t>
      </w:r>
    </w:p>
    <w:bookmarkEnd w:id="11"/>
    <w:bookmarkStart w:id="12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4"/>
        </w:numPr>
      </w:pPr>
      <w:r>
        <w:t xml:space="preserve">Descriptive statistics</w:t>
      </w:r>
    </w:p>
    <w:p>
      <w:pPr>
        <w:pStyle w:val="Compact"/>
        <w:numPr>
          <w:ilvl w:val="0"/>
          <w:numId w:val="1004"/>
        </w:numPr>
      </w:pPr>
      <w:r>
        <w:t xml:space="preserve">Main analysis results</w:t>
      </w:r>
    </w:p>
    <w:p>
      <w:pPr>
        <w:pStyle w:val="Compact"/>
        <w:numPr>
          <w:ilvl w:val="0"/>
          <w:numId w:val="1004"/>
        </w:numPr>
      </w:pPr>
      <w:r>
        <w:t xml:space="preserve">Sensitivity analyses</w:t>
      </w:r>
    </w:p>
    <w:p>
      <w:pPr>
        <w:pStyle w:val="Compact"/>
        <w:numPr>
          <w:ilvl w:val="0"/>
          <w:numId w:val="1004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2"/>
    <w:bookmarkStart w:id="13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3"/>
    <w:bookmarkStart w:id="14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4"/>
    <w:bookmarkEnd w:id="15"/>
    <w:bookmarkEnd w:id="16"/>
    <w:bookmarkStart w:id="22" w:name="figures-and-tables"/>
    <w:p>
      <w:pPr>
        <w:pStyle w:val="Heading2"/>
      </w:pPr>
      <w:r>
        <w:t xml:space="preserve">3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3.3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8" w:name="label-variables-in-plain-words"/>
    <w:p>
      <w:pPr>
        <w:pStyle w:val="Heading3"/>
      </w:pPr>
      <w:r>
        <w:t xml:space="preserve">3.1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5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5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5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5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5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7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7"/>
    <w:bookmarkEnd w:id="18"/>
    <w:bookmarkStart w:id="19" w:name="captions-are-captions-not-headings"/>
    <w:p>
      <w:pPr>
        <w:pStyle w:val="Heading3"/>
      </w:pPr>
      <w:r>
        <w:t xml:space="preserve">3.2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19"/>
    <w:bookmarkStart w:id="20" w:name="sec-submission-layout"/>
    <w:p>
      <w:pPr>
        <w:pStyle w:val="Heading3"/>
      </w:pPr>
      <w:r>
        <w:t xml:space="preserve">3.3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0"/>
    <w:bookmarkStart w:id="21" w:name="check-the-rendered-layout"/>
    <w:p>
      <w:pPr>
        <w:pStyle w:val="Heading3"/>
      </w:pPr>
      <w:r>
        <w:t xml:space="preserve">3.4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7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7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7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1"/>
    <w:bookmarkEnd w:id="22"/>
    <w:bookmarkStart w:id="23" w:name="subsection-headings"/>
    <w:p>
      <w:pPr>
        <w:pStyle w:val="Heading2"/>
      </w:pPr>
      <w:r>
        <w:t xml:space="preserve">4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3"/>
    <w:bookmarkStart w:id="24" w:name="links-to-videos-and-other-media"/>
    <w:p>
      <w:pPr>
        <w:pStyle w:val="Heading2"/>
      </w:pPr>
      <w:r>
        <w:t xml:space="preserve">5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08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08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08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08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2026-10-13T23:37:07Z</dcterms:created>
  <dcterms:modified xsi:type="dcterms:W3CDTF">2026-10-13T23:37:07Z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16:34:00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