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expects to see the notation for an inner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inner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inner product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⟩</m:t>
        </m:r>
      </m:oMath>
      <w:r>
        <w:t xml:space="preserve">.</w:t>
      </w:r>
    </w:p>
    <w:p>
      <w:pPr>
        <w:pStyle w:val="FirstParagraph"/>
      </w:pPr>
      <w:r>
        <w:t xml:space="preserve">The ❌ version names an inner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inner product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⟩</m:t>
        </m:r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7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bookmarkEnd w:id="27"/>
    <w:bookmarkStart w:id="30" w:name="writing-out-notational-shorthands"/>
    <w:p>
      <w:pPr>
        <w:pStyle w:val="Heading2"/>
      </w:pPr>
      <w:r>
        <w:t xml:space="preserve">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9" w:name="exm-notational-shorthand"/>
    <w:p>
      <w:pPr>
        <w:pStyle w:val="BodyText"/>
      </w:pPr>
      <w:r>
        <w:rPr>
          <w:b/>
          <w:bCs/>
        </w:rPr>
        <w:t xml:space="preserve">Example 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28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28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2026-10-08T20:47:49Z</dcterms:created>
  <dcterms:modified xsi:type="dcterms:W3CDTF">2026-10-08T20:47:49Z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