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5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  <w:r>
        <w:t xml:space="preserve"> </w:t>
      </w:r>
      <w:r>
        <w:t xml:space="preserve">Name each quantity in plain words, and add its symbol only as an option:</w:t>
      </w:r>
      <w:r>
        <w:t xml:space="preserve"> </w:t>
      </w:r>
      <w:r>
        <w:t xml:space="preserve">“Probability,</w:t>
      </w:r>
      <w:r>
        <w:t xml:space="preserve"> 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“Log-odds,</w:t>
      </w:r>
      <w:r>
        <w:t xml:space="preserve"> </w:t>
      </w:r>
      <m:oMath>
        <m:r>
          <m:t>η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m:oMath>
        <m:r>
          <m:t>π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m:oMath>
        <m:r>
          <m:t>η</m:t>
        </m:r>
      </m:oMath>
      <w:r>
        <w:t xml:space="preserve">”</w:t>
      </w:r>
      <w:r>
        <w:t xml:space="preserve"> </w:t>
      </w:r>
      <w:r>
        <w:t xml:space="preserve">alone,</w:t>
      </w:r>
      <w:r>
        <w:t xml:space="preserve"> </w:t>
      </w:r>
      <w:r>
        <w:t xml:space="preserve">and not</w:t>
      </w:r>
      <w:r>
        <w:t xml:space="preserve"> </w:t>
      </w:r>
      <w:r>
        <w:t xml:space="preserve">“f(x)”</w:t>
      </w:r>
      <w:r>
        <w:t xml:space="preserve"> </w:t>
      </w:r>
      <w:r>
        <w:t xml:space="preserve">or</w:t>
      </w:r>
      <w:r>
        <w:t xml:space="preserve"> </w:t>
      </w:r>
      <w:r>
        <w:t xml:space="preserve">“x1”</w:t>
      </w:r>
      <w:r>
        <w:t xml:space="preserve">.</w:t>
      </w:r>
      <w:r>
        <w:t xml:space="preserve"> </w:t>
      </w:r>
      <w:r>
        <w:t xml:space="preserve">A reader should not have to look up a symbol to know what an axis shows.</w:t>
      </w:r>
      <w:r>
        <w:t xml:space="preserve"> </w:t>
      </w:r>
      <w:r>
        <w:t xml:space="preserve">Wrap a long y-axis title onto two lines</w:t>
      </w:r>
      <w:r>
        <w:t xml:space="preserve"> </w:t>
      </w:r>
      <w:r>
        <w:t xml:space="preserve">so that it stays horizontal and readable,</w:t>
      </w:r>
      <w:r>
        <w:t xml:space="preserve"> </w:t>
      </w:r>
      <w:r>
        <w:t xml:space="preserve">rather than rotating it or shortening it to a symbol.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r>
        <w:t xml:space="preserve">Draw a tree (a parse tree, decision tree, dendrogram, or any other hierarchy) as a diagram figure,</w:t>
      </w:r>
      <w:r>
        <w:t xml:space="preserve"> </w:t>
      </w:r>
      <w:r>
        <w:t xml:space="preserve">not only as nested bullets.</w:t>
      </w:r>
      <w:r>
        <w:t xml:space="preserve"> </w:t>
      </w:r>
      <w:r>
        <w:t xml:space="preserve">A nested list hides how the branches relate and makes a reader count indentation to find a node’s parent.</w:t>
      </w:r>
      <w:r>
        <w:t xml:space="preserve"> </w:t>
      </w:r>
      <w:r>
        <w:t xml:space="preserve">Keep the list too when it adds information the diagram lacks.</w:t>
      </w:r>
      <w:r>
        <w:t xml:space="preserve"> </w:t>
      </w:r>
      <w:r>
        <w:t xml:space="preserve">Draw the diagram from the tree’s data and fill leaves and internal nodes differently,</w:t>
      </w:r>
      <w:r>
        <w:t xml:space="preserve"> </w:t>
      </w:r>
      <w:r>
        <w:t xml:space="preserve">with the legend at the bottom.</w:t>
      </w:r>
      <w:r>
        <w:t xml:space="preserve"> </w:t>
      </w:r>
      <w:r>
        <w:t xml:space="preserve">Wrap the diagram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caption, and set alt text that reads out the structure with</w:t>
      </w:r>
      <w:r>
        <w:t xml:space="preserve"> </w:t>
      </w:r>
      <w:r>
        <w:rPr>
          <w:rStyle w:val="VerbatimChar"/>
        </w:rPr>
        <w:t xml:space="preserve">fig-alt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Morrison-Lab/gha</w:t>
        </w:r>
      </w:hyperlink>
      <w:r>
        <w:t xml:space="preserve"> </w:t>
      </w:r>
      <w:r>
        <w:t xml:space="preserve">check</w:t>
      </w:r>
      <w:r>
        <w:t xml:space="preserve"> </w:t>
      </w:r>
      <w:r>
        <w:rPr>
          <w:rStyle w:val="VerbatimChar"/>
        </w:rPr>
        <w:t xml:space="preserve">check-tree-lists</w:t>
      </w:r>
      <w:r>
        <w:t xml:space="preserve"> </w:t>
      </w:r>
      <w:r>
        <w:t xml:space="preserve">flags a pull request that adds</w:t>
      </w:r>
      <w:r>
        <w:t xml:space="preserve"> </w:t>
      </w:r>
      <w:r>
        <w:t xml:space="preserve">a definition, example, or other labeled div that mentions a tree, holds a list nested three or more levels deep,</w:t>
      </w:r>
      <w:r>
        <w:t xml:space="preserve"> </w:t>
      </w:r>
      <w:r>
        <w:t xml:space="preserve">and has no figure;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&lt;!-- no-tree-figure: reason --&gt;</w:t>
      </w:r>
      <w:r>
        <w:t xml:space="preserve"> </w:t>
      </w:r>
      <w:r>
        <w:t xml:space="preserve">comment inside the div exempts it.</w:t>
      </w:r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</w:t>
      </w:r>
      <w:r>
        <w:t xml:space="preserve"> </w:t>
      </w:r>
      <w:hyperlink r:id="rId23">
        <w:r>
          <w:rPr>
            <w:rStyle w:val="Hyperlink"/>
          </w:rPr>
          <w:t xml:space="preserve">confidence interval</w:t>
        </w:r>
      </w:hyperlink>
      <w:r>
        <w:t xml:space="preserve">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4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5"/>
    <w:bookmarkStart w:id="45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two variables, such as a loss or a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8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9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4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4" w:name="refs"/>
    <w:bookmarkStart w:id="37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6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7"/>
    <w:bookmarkStart w:id="39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8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9"/>
    <w:bookmarkStart w:id="41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40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41"/>
    <w:bookmarkStart w:id="43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42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23" Type="http://schemas.openxmlformats.org/officeDocument/2006/relationships/hyperlink" Target="defining-terms.qmd#def-confidence-interval" TargetMode="External"/><Relationship Id="rId27" Type="http://schemas.openxmlformats.org/officeDocument/2006/relationships/hyperlink" Target="defining-terms.qmd#def-rss" TargetMode="External"/><Relationship Id="rId18" Type="http://schemas.openxmlformats.org/officeDocument/2006/relationships/hyperlink" Target="http://colorbrewer2.org/" TargetMode="External"/><Relationship Id="rId40" Type="http://schemas.openxmlformats.org/officeDocument/2006/relationships/hyperlink" Target="https://doi.org/10.1016/j.molmed.2023.05.002" TargetMode="External"/><Relationship Id="rId38" Type="http://schemas.openxmlformats.org/officeDocument/2006/relationships/hyperlink" Target="https://doi.org/10.1038/d41586-021-03603-2" TargetMode="External"/><Relationship Id="rId36" Type="http://schemas.openxmlformats.org/officeDocument/2006/relationships/hyperlink" Target="https://doi.org/10.1080/00031305.1973.10478966" TargetMode="External"/><Relationship Id="rId42" Type="http://schemas.openxmlformats.org/officeDocument/2006/relationships/hyperlink" Target="https://doi.org/10.1371/journal.pcbi.1003833" TargetMode="External"/><Relationship Id="rId24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3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26" Type="http://schemas.openxmlformats.org/officeDocument/2006/relationships/hyperlink" Target="https://morrison-lab.github.io/mds/functions.html#def-function" TargetMode="External"/><Relationship Id="rId17" Type="http://schemas.openxmlformats.org/officeDocument/2006/relationships/hyperlink" Target="https://plotly.com/r/" TargetMode="External"/><Relationship Id="rId28" Type="http://schemas.openxmlformats.org/officeDocument/2006/relationships/hyperlink" Target="https://plotly.com/r/3d-surface-plots/" TargetMode="External"/><Relationship Id="rId34" Type="http://schemas.openxmlformats.org/officeDocument/2006/relationships/hyperlink" Target="https://ucd-serg.github.io/lab-manual/professional-development.html" TargetMode="External"/><Relationship Id="rId35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9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2026-10-29T06:58:08Z</dcterms:created>
  <dcterms:modified xsi:type="dcterms:W3CDTF">2026-10-29T06:58:08Z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