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2026-10-26 18:25:07 (PDT)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Phrase each effect estimate as an estimate</w:t>
      </w:r>
      <w:r>
        <w:t xml:space="preserve"> </w:t>
      </w:r>
      <w:r>
        <w:t xml:space="preserve">(</w:t>
      </w:r>
      <w:r>
        <w:t xml:space="preserve">“we estimated that …”</w:t>
      </w:r>
      <w:r>
        <w:t xml:space="preserve">),</w:t>
      </w:r>
      <w:r>
        <w:t xml:space="preserve"> </w:t>
      </w:r>
      <w:r>
        <w:t xml:space="preserve">per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 </w:t>
      </w:r>
      <w:r>
        <w:t xml:space="preserve">website,</w:t>
      </w:r>
      <w:r>
        <w:t xml:space="preserve"> </w:t>
      </w:r>
      <w:r>
        <w:t xml:space="preserve">which catalogs reporting guidelines for health research</w:t>
      </w:r>
      <w:r>
        <w:t xml:space="preserve"> </w:t>
      </w:r>
      <w:r>
        <w:t xml:space="preserve">(Simera et al. 2010)</w:t>
      </w:r>
      <w:r>
        <w:t xml:space="preserve">.</w:t>
      </w:r>
      <w:r>
        <w:t xml:space="preserve"> </w:t>
      </w:r>
      <w:r>
        <w:t xml:space="preserve">Follow the guideline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guidelines.</w:t>
      </w:r>
      <w:r>
        <w:t xml:space="preserve"> </w:t>
      </w:r>
      <w:r>
        <w:t xml:space="preserve">Check the EQUATOR Network website for the current version of a guideline before citing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9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the same fonts across figures.</w:t>
      </w:r>
    </w:p>
    <w:p>
      <w:pPr>
        <w:pStyle w:val="Compact"/>
        <w:numPr>
          <w:ilvl w:val="0"/>
          <w:numId w:val="1012"/>
        </w:numPr>
      </w:pPr>
      <w:r>
        <w:t xml:space="preserve">Size each figure for the page.</w:t>
      </w:r>
      <w:r>
        <w:t xml:space="preserve"> </w:t>
      </w:r>
      <w:r>
        <w:t xml:space="preserve">The plot should fill the available width,</w:t>
      </w:r>
      <w:r>
        <w:t xml:space="preserve"> </w:t>
      </w:r>
      <w:r>
        <w:t xml:space="preserve">meaning the text width or the journal’s stated figure width,</w:t>
      </w:r>
      <w:r>
        <w:t xml:space="preserve"> </w:t>
      </w:r>
      <w:r>
        <w:t xml:space="preserve">with no large blank margins or empty space inside the image.</w:t>
      </w:r>
      <w:r>
        <w:t xml:space="preserve"> </w:t>
      </w:r>
      <w:r>
        <w:t xml:space="preserve">All of its text should meet the journal’s stated minimum size,</w:t>
      </w:r>
      <w:r>
        <w:t xml:space="preserve"> </w:t>
      </w:r>
      <w:r>
        <w:t xml:space="preserve">and in any case be about 8 points or larger at the printed size.</w:t>
      </w:r>
      <w:r>
        <w:t xml:space="preserve"> </w:t>
      </w:r>
      <w:r>
        <w:t xml:space="preserve">Set the figure’s width and height to that width</w:t>
      </w:r>
      <w:r>
        <w:t xml:space="preserve"> </w:t>
      </w:r>
      <w:r>
        <w:t xml:space="preserve">and an aspect ratio that fits the content,</w:t>
      </w:r>
      <w:r>
        <w:t xml:space="preserve"> </w:t>
      </w:r>
      <w:r>
        <w:t xml:space="preserve">rather than exporting at a default size</w:t>
      </w:r>
      <w:r>
        <w:t xml:space="preserve"> </w:t>
      </w:r>
      <w:r>
        <w:t xml:space="preserve">and letting the document shrink it.</w:t>
      </w:r>
      <w:r>
        <w:t xml:space="preserve"> </w:t>
      </w:r>
      <w:r>
        <w:t xml:space="preserve">In a Quarto document,</w:t>
      </w:r>
      <w:r>
        <w:t xml:space="preserve"> </w:t>
      </w:r>
      <w:r>
        <w:t xml:space="preserve">set these with the chunk options</w:t>
      </w:r>
      <w:r>
        <w:t xml:space="preserve"> </w:t>
      </w:r>
      <w:r>
        <w:rPr>
          <w:rStyle w:val="VerbatimChar"/>
        </w:rPr>
        <w:t xml:space="preserve">fig-width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fig-height</w:t>
      </w:r>
      <w:r>
        <w:t xml:space="preserve">.</w:t>
      </w:r>
      <w:r>
        <w:t xml:space="preserve"> </w:t>
      </w:r>
      <w:r>
        <w:t xml:space="preserve">Wide diagrams such as Sankey plots often fail the size rule:</w:t>
      </w:r>
      <w:r>
        <w:t xml:space="preserve"> </w:t>
      </w:r>
      <w:r>
        <w:t xml:space="preserve">the plot ends up tiny in a field of white space.</w:t>
      </w:r>
      <w:r>
        <w:t xml:space="preserve"> </w:t>
      </w:r>
      <w:r>
        <w:t xml:space="preserve">For a ggplot in R,</w:t>
      </w:r>
      <w:r>
        <w:t xml:space="preserve"> </w:t>
      </w: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ggview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previews the plot at its exact final width and height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canvas()</w:t>
      </w:r>
      <w:r>
        <w:t xml:space="preserve">) and saves it at that size (</w:t>
      </w:r>
      <w:r>
        <w:rPr>
          <w:rStyle w:val="VerbatimChar"/>
        </w:rPr>
        <w:t xml:space="preserve">save_ggplot()</w:t>
      </w:r>
      <w:r>
        <w:t xml:space="preserve">),</w:t>
      </w:r>
      <w:r>
        <w:t xml:space="preserve"> </w:t>
      </w:r>
      <w:r>
        <w:t xml:space="preserve">so you can fix the layout before rendering the document.</w:t>
      </w:r>
      <w:r>
        <w:t xml:space="preserve"> </w:t>
      </w:r>
      <w:r>
        <w:t xml:space="preserve">The preview needs the RStudio IDE;</w:t>
      </w:r>
      <w:r>
        <w:t xml:space="preserve"> </w:t>
      </w:r>
      <w:r>
        <w:t xml:space="preserve">in another editor, save the plot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and open the saved file instead.</w:t>
      </w:r>
      <w:r>
        <w:t xml:space="preserve"> </w:t>
      </w:r>
      <w:r>
        <w:t xml:space="preserve">Remove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 </w:t>
      </w:r>
      <w:r>
        <w:t xml:space="preserve">from any plot that the document prints.</w:t>
      </w:r>
      <w:r>
        <w:t xml:space="preserve"> </w:t>
      </w:r>
      <w:r>
        <w:t xml:space="preserve">A printed plot that still carries it goes to the IDE’s viewer pane</w:t>
      </w:r>
      <w:r>
        <w:t xml:space="preserve"> </w:t>
      </w:r>
      <w:r>
        <w:t xml:space="preserve">instead of the document,</w:t>
      </w:r>
      <w:r>
        <w:t xml:space="preserve"> </w:t>
      </w:r>
      <w:r>
        <w:t xml:space="preserve">so the render either stops with an error</w:t>
      </w:r>
      <w:r>
        <w:t xml:space="preserve"> </w:t>
      </w:r>
      <w:r>
        <w:t xml:space="preserve">or leaves the figure out.</w:t>
      </w:r>
      <w:r>
        <w:t xml:space="preserve"> </w:t>
      </w:r>
      <w:r>
        <w:t xml:space="preserve">A plot saved with</w:t>
      </w:r>
      <w:r>
        <w:t xml:space="preserve"> </w:t>
      </w:r>
      <w:r>
        <w:rPr>
          <w:rStyle w:val="VerbatimChar"/>
        </w:rPr>
        <w:t xml:space="preserve">save_ggplot()</w:t>
      </w:r>
      <w:r>
        <w:t xml:space="preserve"> </w:t>
      </w:r>
      <w:r>
        <w:t xml:space="preserve">can keep its</w:t>
      </w:r>
      <w:r>
        <w:t xml:space="preserve"> </w:t>
      </w:r>
      <w:r>
        <w:rPr>
          <w:rStyle w:val="VerbatimChar"/>
        </w:rPr>
        <w:t xml:space="preserve">canvas()</w:t>
      </w:r>
      <w:r>
        <w:t xml:space="preserve">,</w:t>
      </w:r>
      <w:r>
        <w:t xml:space="preserve"> </w:t>
      </w:r>
      <w:r>
        <w:t xml:space="preserve">since that is where the saved size comes from.</w:t>
      </w:r>
      <w:r>
        <w:t xml:space="preserve"> </w:t>
      </w:r>
      <w:r>
        <w:t xml:space="preserve">Check each figure on the rendered page.</w:t>
      </w:r>
      <w:r>
        <w:t xml:space="preserve"> </w:t>
      </w:r>
      <w:r>
        <w:t xml:space="preserve">Figure text far smaller than the caption beneath it</w:t>
      </w:r>
      <w:r>
        <w:t xml:space="preserve"> </w:t>
      </w:r>
      <w:r>
        <w:t xml:space="preserve">is almost certainly below 8 points.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9"/>
    <w:bookmarkStart w:id="30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Describe an estimate as an estimate, in the abstract too.</w:t>
      </w:r>
      <w:r>
        <w:t xml:space="preserve"> </w:t>
      </w:r>
      <w:r>
        <w:t xml:space="preserve">Write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we estimated that the intervention reduced time in notes</w:t>
      </w:r>
      <w:r>
        <w:t xml:space="preserve"> </w:t>
      </w:r>
      <w:r>
        <w:t xml:space="preserve">by 1.26 minutes (95% CI, 0.68 to 1.84)”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“Under the stated difference-in-differences assumptions,</w:t>
      </w:r>
      <w:r>
        <w:t xml:space="preserve"> </w:t>
      </w:r>
      <w:r>
        <w:t xml:space="preserve">the intervention reduced time in notes by 1.26 minutes”</w:t>
      </w:r>
      <w:r>
        <w:t xml:space="preserve">.</w:t>
      </w:r>
      <w:r>
        <w:t xml:space="preserve"> </w:t>
      </w:r>
      <w:r>
        <w:t xml:space="preserve">A point estimate stated as a bare fact</w:t>
      </w:r>
      <w:r>
        <w:t xml:space="preserve"> </w:t>
      </w:r>
      <w:r>
        <w:t xml:space="preserve">reads as a known value rather than as an estimate from the data.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everywhere,</w:t>
      </w:r>
      <w:r>
        <w:t xml:space="preserve"> </w:t>
      </w:r>
      <w:r>
        <w:t xml:space="preserve">and give a point estimate and both bounds of its interval</w:t>
      </w:r>
      <w:r>
        <w:t xml:space="preserve"> </w:t>
      </w:r>
      <w:r>
        <w:t xml:space="preserve">the same number of decimal places:</w:t>
      </w:r>
      <w:r>
        <w:t xml:space="preserve"> </w:t>
      </w:r>
      <w:r>
        <w:t xml:space="preserve">“1.26 (95% CI, 0.68 to 1.84)”</w:t>
      </w:r>
      <w:r>
        <w:t xml:space="preserve">, not</w:t>
      </w:r>
      <w:r>
        <w:t xml:space="preserve"> </w:t>
      </w:r>
      <w:r>
        <w:t xml:space="preserve">“1.26 (95% CI, 0.675 to 1.84)”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every number that comes from the analysis</w:t>
      </w:r>
      <w:r>
        <w:t xml:space="preserve"> </w:t>
      </w:r>
      <w:r>
        <w:t xml:space="preserve">with code, such as an inline R expression in Quarto,</w:t>
      </w:r>
      <w:r>
        <w:t xml:space="preserve"> </w:t>
      </w:r>
      <w:r>
        <w:t xml:space="preserve">rather than typing it into the prose.</w:t>
      </w:r>
      <w:r>
        <w:t xml:space="preserve"> </w:t>
      </w:r>
      <w:r>
        <w:t xml:space="preserve">A typed number goes stale when the data or the analysis changes,</w:t>
      </w:r>
      <w:r>
        <w:t xml:space="preserve"> </w:t>
      </w:r>
      <w:r>
        <w:t xml:space="preserve">and nothing warns you that it no longer matches the tables.</w:t>
      </w:r>
    </w:p>
    <w:bookmarkEnd w:id="30"/>
    <w:bookmarkStart w:id="31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1"/>
    <w:bookmarkStart w:id="32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2"/>
    <w:bookmarkStart w:id="34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3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4"/>
    <w:bookmarkStart w:id="37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6">
        <w:r>
          <w:rPr>
            <w:rStyle w:val="Hyperlink"/>
          </w:rPr>
          <w:t xml:space="preserve">Avoiding clichés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7"/>
    <w:bookmarkStart w:id="39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8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9"/>
    <w:bookmarkStart w:id="40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40"/>
    <w:bookmarkStart w:id="44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no figure is cropped or blurry,</w:t>
      </w:r>
      <w:r>
        <w:t xml:space="preserve"> </w:t>
      </w:r>
      <w:r>
        <w:t xml:space="preserve">and every figure fills the available width without large blank margins,</w:t>
      </w:r>
      <w:r>
        <w:t xml:space="preserve"> </w:t>
      </w:r>
      <w:r>
        <w:t xml:space="preserve">with its smallest text about 8 points or larger.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is phrased as an estimate,</w:t>
      </w:r>
      <w:r>
        <w:t xml:space="preserve"> </w:t>
      </w:r>
      <w:r>
        <w:t xml:space="preserve">and shares its decimal places with its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</w:t>
      </w:r>
      <w:r>
        <w:t xml:space="preserve"> </w:t>
      </w:r>
      <w:hyperlink r:id="rId35">
        <w:r>
          <w:rPr>
            <w:rStyle w:val="Hyperlink"/>
          </w:rPr>
          <w:t xml:space="preserve">AI tells</w:t>
        </w:r>
      </w:hyperlink>
      <w:r>
        <w:t xml:space="preserve">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Start w:id="43" w:name="refs"/>
    <w:bookmarkStart w:id="42" w:name="ref-simera2010catalogue"/>
    <w:p>
      <w:pPr>
        <w:pStyle w:val="Bibliography"/>
      </w:pPr>
      <w:r>
        <w:t xml:space="preserve">Simera, Iveta, David Moher, John Hoey, Kenneth F. Schulz, and Douglas G. Altman. 2010.</w:t>
      </w:r>
      <w:r>
        <w:t xml:space="preserve"> </w:t>
      </w:r>
      <w:r>
        <w:t xml:space="preserve">“A Catalogue of Reporting Guidelines for Health Research.”</w:t>
      </w:r>
      <w:r>
        <w:t xml:space="preserve"> </w:t>
      </w:r>
      <w:r>
        <w:rPr>
          <w:i/>
          <w:iCs/>
        </w:rPr>
        <w:t xml:space="preserve">European Journal of Clinical Investigation</w:t>
      </w:r>
      <w:r>
        <w:t xml:space="preserve"> </w:t>
      </w:r>
      <w:r>
        <w:t xml:space="preserve">40 (1): 35–53.</w:t>
      </w:r>
      <w:r>
        <w:t xml:space="preserve"> </w:t>
      </w:r>
      <w:hyperlink r:id="rId41">
        <w:r>
          <w:rPr>
            <w:rStyle w:val="Hyperlink"/>
          </w:rPr>
          <w:t xml:space="preserve">https://doi.org/10.1111/j.1365-2362.2009.02234.x</w:t>
        </w:r>
      </w:hyperlink>
      <w:r>
        <w:t xml:space="preserve">.</w:t>
      </w:r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avoid-cliches.qmd" TargetMode="External" /><Relationship Type="http://schemas.openxmlformats.org/officeDocument/2006/relationships/hyperlink" Id="rId35" Target="avoid-cliches.qmd#def-ai-tell" TargetMode="External" /><Relationship Type="http://schemas.openxmlformats.org/officeDocument/2006/relationships/hyperlink" Id="rId33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41" Target="https://doi.org/10.1111/j.1365-2362.2009.02234.x" TargetMode="External" /><Relationship Type="http://schemas.openxmlformats.org/officeDocument/2006/relationships/hyperlink" Id="rId24" Target="https://equator-network.org/" TargetMode="External" /><Relationship Type="http://schemas.openxmlformats.org/officeDocument/2006/relationships/hyperlink" Id="rId28" Target="https://github.com/idmn/ggview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38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2026-10-27T01:28:24Z</dcterms:created>
  <dcterms:modified xsi:type="dcterms:W3CDTF">2026-10-27T01:28:24Z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18:25:07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