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2026-10-23 16:25:18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7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9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19"/>
    <w:bookmarkStart w:id="21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0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0"/>
    <w:bookmarkEnd w:id="21"/>
    <w:bookmarkStart w:id="22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2"/>
    <w:bookmarkStart w:id="26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3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3"/>
    <w:bookmarkStart w:id="25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4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4"/>
    <w:bookmarkEnd w:id="25"/>
    <w:bookmarkEnd w:id="26"/>
    <w:bookmarkEnd w:id="27"/>
    <w:bookmarkStart w:id="30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9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9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0"/>
    <w:bookmarkStart w:id="32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1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1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2"/>
    <w:bookmarkStart w:id="37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4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5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6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6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7"/>
    <w:bookmarkStart w:id="40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8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8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w:r>
        <w:t xml:space="preserve">$\Outvar$</w:t>
      </w:r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w:r>
        <w:t xml:space="preserve">$\outvar$</w:t>
      </w:r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w:r>
        <w:t xml:space="preserve">$\predvar$</w:t>
      </w:r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w:r>
        <w:t xml:space="preserve">$\outvar$</w:t>
      </w:r>
      <w:r>
        <w:t xml:space="preserve"> </w:t>
      </w:r>
      <w:r>
        <w:t xml:space="preserve">as given”</w:t>
      </w:r>
      <w:r>
        <w:t xml:space="preserve">.</w:t>
      </w:r>
    </w:p>
    <w:bookmarkStart w:id="39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w:r>
        <w:t xml:space="preserve">$\predvar$</w:t>
      </w:r>
      <w:r>
        <w:t xml:space="preserve">, and let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w:r>
        <w:t xml:space="preserve">$\predvar$</w:t>
      </w:r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number you choose and</w:t>
      </w:r>
      <w:r>
        <w:t xml:space="preserve"> </w:t>
      </w:r>
      <w:r>
        <w:t xml:space="preserve">$\Outvar$</w:t>
      </w:r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39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0"/>
    <w:bookmarkStart w:id="45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2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2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4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</w:p>
    <w:bookmarkStart w:id="43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3"/>
    <w:bookmarkEnd w:id="44"/>
    <w:bookmarkEnd w:id="45"/>
    <w:bookmarkStart w:id="54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6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6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7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7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8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8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9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9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0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0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1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1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2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2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meets in the document’s notation table,</w:t>
      </w:r>
      <w:r>
        <w:t xml:space="preserve"> </w:t>
      </w:r>
      <w:r>
        <w:t xml:space="preserve">with its meaning.</w:t>
      </w:r>
    </w:p>
    <w:bookmarkStart w:id="53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3"/>
    <w:bookmarkEnd w:id="54"/>
    <w:bookmarkStart w:id="57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5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6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6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7"/>
    <w:bookmarkStart w:id="59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8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8"/>
    <w:bookmarkEnd w:id="59"/>
    <w:bookmarkStart w:id="61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0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0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1"/>
    <w:bookmarkStart w:id="64" w:name="writing-out-notational-shorthands"/>
    <w:p>
      <w:pPr>
        <w:pStyle w:val="Heading2"/>
      </w:pPr>
      <w:r>
        <w:t xml:space="preserve">12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62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63" w:name="exm-notational-shorthand"/>
    <w:p>
      <w:pPr>
        <w:pStyle w:val="BodyText"/>
      </w:pPr>
      <w:r>
        <w:rPr>
          <w:b/>
          <w:bCs/>
        </w:rPr>
        <w:t xml:space="preserve">Example 24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63"/>
    <w:bookmarkEnd w:id="64"/>
    <w:bookmarkStart w:id="69" w:name="stating-assumptions-before-using-them"/>
    <w:p>
      <w:pPr>
        <w:pStyle w:val="Heading2"/>
      </w:pPr>
      <w:r>
        <w:t xml:space="preserve">13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3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a hypothesis of a theorem;</w:t>
      </w:r>
    </w:p>
    <w:p>
      <w:pPr>
        <w:pStyle w:val="Compact"/>
        <w:numPr>
          <w:ilvl w:val="0"/>
          <w:numId w:val="1013"/>
        </w:numPr>
      </w:pPr>
      <w:r>
        <w:t xml:space="preserve">a case split;</w:t>
      </w:r>
    </w:p>
    <w:p>
      <w:pPr>
        <w:pStyle w:val="Compact"/>
        <w:numPr>
          <w:ilvl w:val="0"/>
          <w:numId w:val="1013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4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65" w:name="exm-assumptions-first"/>
    <w:p>
      <w:pPr>
        <w:pStyle w:val="BodyText"/>
      </w:pPr>
      <w:r>
        <w:rPr>
          <w:b/>
          <w:bCs/>
        </w:rPr>
        <w:t xml:space="preserve">Example 25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65"/>
    <w:bookmarkStart w:id="66" w:name="exm-assumptions-bullet-list"/>
    <w:p>
      <w:pPr>
        <w:pStyle w:val="BodyText"/>
      </w:pPr>
      <w:r>
        <w:rPr>
          <w:b/>
          <w:bCs/>
        </w:rPr>
        <w:t xml:space="preserve">Example 26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5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5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5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66"/>
    <w:bookmarkStart w:id="67" w:name="exm-notation-bullet-list"/>
    <w:p>
      <w:pPr>
        <w:pStyle w:val="BodyText"/>
      </w:pPr>
      <w:r>
        <w:rPr>
          <w:b/>
          <w:bCs/>
        </w:rPr>
        <w:t xml:space="preserve">Example 27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6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6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67"/>
    <w:bookmarkStart w:id="68" w:name="exm-parametrization-is-notation"/>
    <w:p>
      <w:pPr>
        <w:pStyle w:val="BodyText"/>
      </w:pPr>
      <w:r>
        <w:rPr>
          <w:b/>
          <w:bCs/>
        </w:rPr>
        <w:t xml:space="preserve">Example 28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7"/>
        </w:numPr>
      </w:pPr>
      <w:r>
        <w:t xml:space="preserve">the outcome variable is</w:t>
      </w:r>
      <w:r>
        <w:t xml:space="preserve"> </w:t>
      </w:r>
      <w:r>
        <w:t xml:space="preserve">$\Outvar = \truemeanf{\predvar} + \noise$</w:t>
      </w:r>
      <w:r>
        <w:t xml:space="preserve">, and</w:t>
      </w:r>
    </w:p>
    <w:p>
      <w:pPr>
        <w:pStyle w:val="Compact"/>
        <w:numPr>
          <w:ilvl w:val="0"/>
          <w:numId w:val="1017"/>
        </w:numPr>
      </w:pPr>
      <w:r>
        <w:t xml:space="preserve">the noise variable</w:t>
      </w:r>
      <w:r>
        <w:t xml:space="preserve"> </w:t>
      </w:r>
      <w:r>
        <w:t xml:space="preserve">$\noise$</w:t>
      </w:r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w:r>
        <w:t xml:space="preserve">$\truemeanf{\predvar}$</w:t>
      </w:r>
      <w:r>
        <w:t xml:space="preserve"> </w:t>
      </w:r>
      <w:r>
        <w:t xml:space="preserve">be the population mean of the outcome variable</w:t>
      </w:r>
      <w:r>
        <w:t xml:space="preserve"> </w:t>
      </w:r>
      <w:r>
        <w:t xml:space="preserve">$\Outvar$</w:t>
      </w:r>
      <w:r>
        <w:t xml:space="preserve"> </w:t>
      </w:r>
      <w:r>
        <w:t xml:space="preserve">given the input value</w:t>
      </w:r>
      <w:r>
        <w:t xml:space="preserve"> </w:t>
      </w:r>
      <w:r>
        <w:t xml:space="preserve">$\predvar$</w:t>
      </w:r>
      <w:r>
        <w:t xml:space="preserve">, and</w:t>
      </w:r>
    </w:p>
    <w:p>
      <w:pPr>
        <w:pStyle w:val="Compact"/>
        <w:numPr>
          <w:ilvl w:val="0"/>
          <w:numId w:val="1018"/>
        </w:numPr>
      </w:pPr>
      <w:r>
        <w:t xml:space="preserve">$\noise = \Outvar - \truemeanf{\predvar}$</w:t>
      </w:r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w:r>
        <w:t xml:space="preserve">$\Outvar = \truemeanf{\predvar} + \noise$</w:t>
      </w:r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w:r>
        <w:t xml:space="preserve">$\noise$</w:t>
      </w:r>
      <w:r>
        <w:t xml:space="preserve"> </w:t>
      </w:r>
      <w:r>
        <w:t xml:space="preserve">given</w:t>
      </w:r>
      <w:r>
        <w:t xml:space="preserve"> </w:t>
      </w:r>
      <w:r>
        <w:t xml:space="preserve">$\predvar$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w:r>
        <w:t xml:space="preserve">$\noise = \Outvar - \truemeanf{\predvar}$</w:t>
      </w:r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w:r>
        <w:t xml:space="preserve">$\Outvar$</w:t>
      </w:r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5" Target="https://morrison-lab.github.io/mds/functions.html#def-codomain" TargetMode="External" /><Relationship Type="http://schemas.openxmlformats.org/officeDocument/2006/relationships/hyperlink" Id="rId34" Target="https://morrison-lab.github.io/mds/functions.html#def-domain" TargetMode="External" /><Relationship Type="http://schemas.openxmlformats.org/officeDocument/2006/relationships/hyperlink" Id="rId33" Target="https://morrison-lab.github.io/mds/functions.html#def-function" TargetMode="External" /><Relationship Type="http://schemas.openxmlformats.org/officeDocument/2006/relationships/hyperlink" Id="rId62" Target="https://morrison-lab.github.io/mds/notation.html#sec-notational-shorthands" TargetMode="External" /><Relationship Type="http://schemas.openxmlformats.org/officeDocument/2006/relationships/hyperlink" Id="rId28" Target="notation.qmd#one-operation-per-step" TargetMode="External" /><Relationship Type="http://schemas.openxmlformats.org/officeDocument/2006/relationships/hyperlink" Id="rId55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5" Target="https://morrison-lab.github.io/mds/functions.html#def-codomain" TargetMode="External" /><Relationship Type="http://schemas.openxmlformats.org/officeDocument/2006/relationships/hyperlink" Id="rId34" Target="https://morrison-lab.github.io/mds/functions.html#def-domain" TargetMode="External" /><Relationship Type="http://schemas.openxmlformats.org/officeDocument/2006/relationships/hyperlink" Id="rId33" Target="https://morrison-lab.github.io/mds/functions.html#def-function" TargetMode="External" /><Relationship Type="http://schemas.openxmlformats.org/officeDocument/2006/relationships/hyperlink" Id="rId62" Target="https://morrison-lab.github.io/mds/notation.html#sec-notational-shorthands" TargetMode="External" /><Relationship Type="http://schemas.openxmlformats.org/officeDocument/2006/relationships/hyperlink" Id="rId28" Target="notation.qmd#one-operation-per-step" TargetMode="External" /><Relationship Type="http://schemas.openxmlformats.org/officeDocument/2006/relationships/hyperlink" Id="rId55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2026-10-23T23:28:46Z</dcterms:created>
  <dcterms:modified xsi:type="dcterms:W3CDTF">2026-10-23T23:28:46Z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16:25:18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