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{qnp}</w:t>
      </w:r>
      <w:r>
        <w:t xml:space="preserve"> </w:t>
      </w:r>
      <w:r>
        <w:t xml:space="preserve">package,</w:t>
      </w:r>
      <w:r>
        <w:t xml:space="preserve"> </w:t>
      </w:r>
      <w:r>
        <w:t xml:space="preserve">which provides helpers for including plots in Quarto notes.</w:t>
      </w:r>
    </w:p>
    <w:bookmarkEnd w:id="9"/>
    <w:bookmarkStart w:id="13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rPr>
          <w:rStyle w:val="VerbatimChar"/>
        </w:rPr>
        <w:t xml:space="preserve">interactive_plot()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interactive in HTML output</w:t>
      </w:r>
      <w:r>
        <w:t xml:space="preserve"> </w:t>
      </w:r>
      <w:r>
        <w:t xml:space="preserve">and leaves it unchanged in other output formats.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argument gives a text alternative for screen readers: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(wt,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fuel economy versus car weight"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getting-started_files/figure-docx/unnamed-chunk-2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2026-10-22T23:29:51Z</dcterms:created>
  <dcterms:modified xsi:type="dcterms:W3CDTF">2026-10-22T23:29:51Z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