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{qnp}</w:t>
      </w:r>
      <w:r>
        <w:t xml:space="preserve"> </w:t>
      </w:r>
      <w:r>
        <w:t xml:space="preserve">package,</w:t>
      </w:r>
      <w:r>
        <w:t xml:space="preserve"> </w:t>
      </w:r>
      <w:r>
        <w:t xml:space="preserve">which provides helpers for including plots in Quarto notes.</w:t>
      </w:r>
    </w:p>
    <w:bookmarkEnd w:id="9"/>
    <w:bookmarkStart w:id="13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rPr>
          <w:rStyle w:val="VerbatimChar"/>
        </w:rPr>
        <w:t xml:space="preserve">interactive_plot()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interactive in HTML output</w:t>
      </w:r>
      <w:r>
        <w:t xml:space="preserve"> </w:t>
      </w:r>
      <w:r>
        <w:t xml:space="preserve">and leaves it unchanged in other output formats.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argument gives a text alternative for screen readers: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(wt,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"Scatterplot of fuel economy versus car weight"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etting-started_files/figure-docx/unnamed-chunk-2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2026-10-15T09:24:05Z</dcterms:created>
  <dcterms:modified xsi:type="dcterms:W3CDTF">2026-10-15T09:24:05Z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