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(Rocke 2021)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(Dobson and Barnett 2018, chap. 11)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(Rocke 2021; Dobson and Barnett 2018, chap. 11)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(Rocke 2021)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(Rocke 2021; Dobson and Barnett 2018, chap. 11)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(Rocke 2021; Bates et al. 2015)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(Rocke 2021)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(2007, chap. 12)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(Goodrich et al.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(Gelman and Hill 2007, chap. 12)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(Gelman and Hill 2007, chap. 12)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fit works with log radon;</w:t>
            </w:r>
            <w:r>
              <w:br/>
            </w:r>
            <w:r>
              <w:rPr>
                <w:rStyle w:val="CommentTok"/>
              </w:rPr>
              <w:t xml:space="preserve"># the y-axis ticks sit at the logs of round radon values, labelled in pCi/L</w:t>
            </w:r>
            <w:r>
              <w:br/>
            </w:r>
            <w:r>
              <w:rPr>
                <w:rStyle w:val="NormalTok"/>
              </w:rPr>
              <w:t xml:space="preserve">radon_ticks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yaxt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"County geometric-mean radon (pCi/L)"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axis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(radon_ticks),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radon_ticks)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geometric-mean radon levels</w:t>
            </w:r>
            <w:r>
              <w:t xml:space="preserve"> </w:t>
            </w:r>
            <w:r>
              <w:t xml:space="preserve">(the exponentials of the estimated county means of log radon);</w:t>
            </w:r>
            <w:r>
              <w:t xml:space="preserve"> </w:t>
            </w:r>
            <w:r>
              <w:t xml:space="preserve">the dashed line is the complete-pooling estimate.</w:t>
            </w:r>
            <w:r>
              <w:t xml:space="preserve"> </w:t>
            </w:r>
            <w:r>
              <w:t xml:space="preserve">The model is fit to log radon,</w:t>
            </w:r>
            <w:r>
              <w:t xml:space="preserve"> </w:t>
            </w:r>
            <w:r>
              <w:t xml:space="preserve">so the radon axis is spaced logarithmically.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(Rocke 2021)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(Dobson and Barnett 2018, chap. 11; Gelman and Hill 2007, chap. 14)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(Dobson and Barnett 2018, chap. 11)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(2018)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(2012)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(2007)</w:t>
      </w:r>
    </w:p>
    <w:p>
      <w:pPr>
        <w:pStyle w:val="Compact"/>
        <w:numPr>
          <w:ilvl w:val="1"/>
          <w:numId w:val="1016"/>
        </w:numPr>
      </w:pPr>
      <w:r>
        <w:t xml:space="preserve">Jiang and Nguyen (2021)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(2016)</w:t>
      </w:r>
    </w:p>
    <w:p>
      <w:pPr>
        <w:pStyle w:val="Compact"/>
        <w:numPr>
          <w:ilvl w:val="1"/>
          <w:numId w:val="1016"/>
        </w:numPr>
      </w:pPr>
      <w:r>
        <w:t xml:space="preserve">McCulloch et al. (2008)</w:t>
      </w:r>
    </w:p>
    <w:p>
      <w:pPr>
        <w:pStyle w:val="Compact"/>
        <w:numPr>
          <w:ilvl w:val="1"/>
          <w:numId w:val="1016"/>
        </w:numPr>
      </w:pPr>
      <w:r>
        <w:t xml:space="preserve">Hedeker and Gibbons (2006)</w:t>
      </w:r>
    </w:p>
    <w:p>
      <w:pPr>
        <w:pStyle w:val="Compact"/>
        <w:numPr>
          <w:ilvl w:val="1"/>
          <w:numId w:val="1016"/>
        </w:numPr>
      </w:pPr>
      <w:r>
        <w:t xml:space="preserve">Wakefield (2013)</w:t>
      </w:r>
    </w:p>
    <w:p>
      <w:pPr>
        <w:pStyle w:val="Compact"/>
        <w:numPr>
          <w:ilvl w:val="1"/>
          <w:numId w:val="1016"/>
        </w:numPr>
      </w:pPr>
      <w:r>
        <w:t xml:space="preserve">Zuur (2009)</w:t>
      </w:r>
    </w:p>
    <w:p>
      <w:pPr>
        <w:pStyle w:val="Compact"/>
        <w:numPr>
          <w:ilvl w:val="1"/>
          <w:numId w:val="1016"/>
        </w:numPr>
      </w:pPr>
      <w:r>
        <w:t xml:space="preserve">Diggle et al. (2013)</w:t>
      </w:r>
    </w:p>
    <w:p>
      <w:pPr>
        <w:pStyle w:val="Compact"/>
        <w:numPr>
          <w:ilvl w:val="1"/>
          <w:numId w:val="1016"/>
        </w:numPr>
      </w:pPr>
      <w:r>
        <w:t xml:space="preserve">Fitzmaurice et al. (2012)</w:t>
      </w:r>
    </w:p>
    <w:p>
      <w:pPr>
        <w:pStyle w:val="Compact"/>
        <w:numPr>
          <w:ilvl w:val="1"/>
          <w:numId w:val="1016"/>
        </w:numPr>
      </w:pPr>
      <w:r>
        <w:t xml:space="preserve">Fitzmaurice et al. (2009)</w:t>
      </w:r>
    </w:p>
    <w:p>
      <w:pPr>
        <w:pStyle w:val="Compact"/>
        <w:numPr>
          <w:ilvl w:val="1"/>
          <w:numId w:val="1016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16"/>
        </w:numPr>
      </w:pPr>
      <w:r>
        <w:t xml:space="preserve">Congdon (2020)</w:t>
      </w:r>
    </w:p>
    <w:p>
      <w:pPr>
        <w:pStyle w:val="Compact"/>
        <w:numPr>
          <w:ilvl w:val="1"/>
          <w:numId w:val="1016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16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16"/>
        </w:numPr>
      </w:pPr>
      <w:r>
        <w:t xml:space="preserve">Jewell and Hubbard (2016)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2" w:name="ref-bates2015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51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52"/>
    <w:bookmarkStart w:id="153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153"/>
    <w:bookmarkStart w:id="154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154"/>
    <w:bookmarkStart w:id="1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6"/>
    <w:bookmarkStart w:id="158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57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58"/>
    <w:bookmarkStart w:id="160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159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160"/>
    <w:bookmarkStart w:id="162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161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162"/>
    <w:bookmarkStart w:id="164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164"/>
    <w:bookmarkStart w:id="165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65"/>
    <w:bookmarkStart w:id="167" w:name="ref-goodrich2024rstanarm"/>
    <w:p>
      <w:pPr>
        <w:pStyle w:val="Bibliography"/>
      </w:pPr>
      <w:r>
        <w:t xml:space="preserve">Goodrich, Ben, Jonah Gabry, Imad Ali, and Sam Brilleman. 2024.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https://mc-stan.org/rstanarm/</w:t>
        </w:r>
      </w:hyperlink>
      <w:r>
        <w:t xml:space="preserve">.</w:t>
      </w:r>
    </w:p>
    <w:bookmarkEnd w:id="167"/>
    <w:bookmarkStart w:id="168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168"/>
    <w:bookmarkStart w:id="170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169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170"/>
    <w:bookmarkStart w:id="172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172"/>
    <w:bookmarkStart w:id="173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73"/>
    <w:bookmarkStart w:id="175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74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75"/>
    <w:bookmarkStart w:id="177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176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177"/>
    <w:bookmarkStart w:id="17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Start w:id="18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18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182"/>
    <w:bookmarkStart w:id="1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84"/>
    <w:bookmarkStart w:id="18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85"/>
    <w:bookmarkStart w:id="18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2026-10-16T09:57:16Z</dcterms:created>
  <dcterms:modified xsi:type="dcterms:W3CDTF">2026-10-16T09:57:16Z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