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47.png" ContentType="image/png"/>
  <Override PartName="/word/media/rId61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3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Regression models 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r>
        <w:rPr>
          <w:b/>
          <w:bCs/>
        </w:rPr>
        <w:t xml:space="preserve">potential outcomes</w:t>
      </w:r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 causal estimands</w:t>
      </w:r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2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 covariates 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 potential outcomes framework of this chapter makes precise.</w:t>
      </w:r>
    </w:p>
    <w:bookmarkEnd w:id="12"/>
    <w:bookmarkEnd w:id="13"/>
    <w:bookmarkStart w:id="18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 potential outcome 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relationship between observed and potential outcomes is sometimes called 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1 (Potential outcomes and observed outcomes in a toy sample)</w:t>
            </w:r>
            <w:r>
              <w:t xml:space="preserve"> </w:t>
            </w:r>
            <w:r>
              <w:t xml:space="preserve">Consider a sample 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17"/>
          <w:p/>
        </w:tc>
      </w:tr>
    </w:tbl>
    <w:bookmarkEnd w:id="18"/>
    <w:bookmarkStart w:id="23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 individual causal effects 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 estimands</w:t>
      </w:r>
      <w:r>
        <w:t xml:space="preserve">:</w:t>
      </w:r>
      <w:r>
        <w:t xml:space="preserve"> </w:t>
      </w:r>
      <w:r>
        <w:t xml:space="preserve">averages of potential outcomes over a 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 expected 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2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22"/>
          <w:p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 independent of potential outcomes</w:t>
      </w:r>
      <w:r>
        <w:t xml:space="preserve"> </w:t>
      </w:r>
      <w:r>
        <w:t xml:space="preserve">(e.g., in a perfectly conducted randomized trial):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23"/>
    <w:bookmarkStart w:id="30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25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 observed outcome for a treated unit equals</w:t>
            </w:r>
            <w:r>
              <w:t xml:space="preserve"> </w:t>
            </w:r>
            <w:r>
              <w:t xml:space="preserve">that unit’s potential outcome 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 bias.</w:t>
            </w:r>
          </w:p>
          <w:bookmarkEnd w:id="24"/>
        </w:tc>
      </w:tr>
    </w:tbl>
    <w:bookmarkEnd w:id="25"/>
    <w:bookmarkStart w:id="2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no unmeasured confounding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 independent 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 randomized trials.</w:t>
            </w:r>
            <w:r>
              <w:t xml:space="preserve"> </w:t>
            </w:r>
            <w:r>
              <w:rPr>
                <w:b/>
                <w:bCs/>
              </w:rPr>
              <w:t xml:space="preserve">Conditional exchangeability</w:t>
            </w:r>
            <w:r>
              <w:t xml:space="preserve"> </w:t>
            </w:r>
            <w:r>
              <w:t xml:space="preserve">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26"/>
        </w:tc>
      </w:tr>
    </w:tbl>
    <w:bookmarkEnd w:id="27"/>
    <w:bookmarkStart w:id="29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9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conditional on their covariate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 counterfactual outcome</w:t>
            </w:r>
            <w:r>
              <w:t xml:space="preserve"> </w:t>
            </w:r>
            <w:r>
              <w:t xml:space="preserve">for those subgroups.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practical positivity violation</w:t>
            </w:r>
            <w:r>
              <w:t xml:space="preserve"> </w:t>
            </w:r>
            <w:r>
              <w:t xml:space="preserve">when near-zero probabilities occur in small strata.</w:t>
            </w:r>
          </w:p>
          <w:bookmarkEnd w:id="28"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29"/>
    <w:bookmarkEnd w:id="30"/>
    <w:bookmarkStart w:id="33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r>
        <w:t xml:space="preserve">independent 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:</w:t>
      </w:r>
      <w:r>
        <w:t xml:space="preserve"> </w:t>
      </w:r>
      <w:r>
        <w:t xml:space="preserve">the distribution of potential outcomes 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similarly for the control group: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(unconditional exchangeability: 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when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observed mean difference between treatment groups</w:t>
      </w:r>
      <w:r>
        <w:t xml:space="preserve"> </w:t>
      </w:r>
      <w:r>
        <w:t xml:space="preserve">is an unbiased estimate of the ATE: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 confounding.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31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 exchangeable 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 observational studies 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 significant 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(relative hazard 0.99; 95% CI: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 mediator 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31"/>
    <w:bookmarkStart w:id="32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 confounding,</w:t>
      </w:r>
      <w:r>
        <w:t xml:space="preserve"> </w:t>
      </w:r>
      <w:r>
        <w:t xml:space="preserve">adjusting for baseline covariates 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 precision</w:t>
      </w:r>
      <w:r>
        <w:t xml:space="preserve">: Adjusting for strong predictors of the outcome</w:t>
      </w:r>
      <w:r>
        <w:t xml:space="preserve"> </w:t>
      </w:r>
      <w:r>
        <w:t xml:space="preserve">reduces residual variance and narrows confidence intervals.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32"/>
    <w:bookmarkEnd w:id="33"/>
    <w:bookmarkStart w:id="66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37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 directed acyclic graphs (DAGs) to describe confounding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 outcome —</w:t>
      </w:r>
      <w:r>
        <w:t xml:space="preserve"> </w:t>
      </w:r>
      <w:r>
        <w:t xml:space="preserve">this systematic difference is called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bookmarkStart w:id="39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10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the potential outcomes framework,</w:t>
            </w:r>
            <w:r>
              <w:t xml:space="preserve"> </w:t>
            </w:r>
            <w:r>
              <w:t xml:space="preserve">confounding means that treatment assignment is not independent</w:t>
            </w:r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Directed Acyclic Graphs (DAGs)</w:t>
      </w:r>
      <w:r>
        <w:t xml:space="preserve"> </w:t>
      </w:r>
      <w:r>
        <w:t xml:space="preserve">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 confounders, mediators, colliders,</w:t>
      </w:r>
      <w:r>
        <w:t xml:space="preserve"> </w:t>
      </w:r>
      <w:r>
        <w:t xml:space="preserve">and sufficient adjustment sets.</w:t>
      </w:r>
    </w:p>
    <w:bookmarkEnd w:id="39"/>
    <w:bookmarkStart w:id="40" w:name="sec-pred-sel-dag"/>
    <w:p>
      <w:pPr>
        <w:pStyle w:val="Heading2"/>
      </w:pPr>
      <w:r>
        <w:t xml:space="preserve">6.2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08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confounders</w:t>
      </w:r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mediators</w:t>
      </w:r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09"/>
        </w:numPr>
      </w:pPr>
      <w:r>
        <w:t xml:space="preserve">Identify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40"/>
    <w:bookmarkStart w:id="45" w:name="sec-pred-sel-dag-concepts"/>
    <w:p>
      <w:pPr>
        <w:pStyle w:val="Heading2"/>
      </w:pPr>
      <w:r>
        <w:t xml:space="preserve">6.3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11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contrast,</w:t>
            </w:r>
            <w:r>
              <w:t xml:space="preserve"> </w:t>
            </w:r>
            <w:r>
              <w:t xml:space="preserve">a mediator 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 confounding bias.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12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13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Adjusting for a collider opens a non-causal (backdoor)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introducing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14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bookmarkEnd w:id="45"/>
    <w:bookmarkStart w:id="51" w:name="sec-pred-sel-hers-dag"/>
    <w:p>
      <w:pPr>
        <w:pStyle w:val="Heading2"/>
      </w:pPr>
      <w:r>
        <w:t xml:space="preserve">6.4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 risk.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5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2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51"/>
    <w:bookmarkStart w:id="53" w:name="sec-pred-sel-hers-adjust"/>
    <w:p>
      <w:pPr>
        <w:pStyle w:val="Heading2"/>
      </w:pPr>
      <w:r>
        <w:t xml:space="preserve">6.5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52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 backdoor paths 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53"/>
    <w:bookmarkStart w:id="59" w:name="sec-pred-sel-hers-ldl"/>
    <w:p>
      <w:pPr>
        <w:pStyle w:val="Heading2"/>
      </w:pPr>
      <w:r>
        <w:t xml:space="preserve">6.6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 predictor selection.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54"/>
        </w:tc>
      </w:tr>
    </w:tbl>
    <w:bookmarkStart w:id="56" w:name="unadjusted-model"/>
    <w:p>
      <w:pPr>
        <w:pStyle w:val="Heading3"/>
      </w:pPr>
      <w:r>
        <w:t xml:space="preserve">6.6.1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5"/>
        </w:tc>
      </w:tr>
    </w:tbl>
    <w:bookmarkEnd w:id="56"/>
    <w:bookmarkStart w:id="58" w:name="adjusted-model"/>
    <w:p>
      <w:pPr>
        <w:pStyle w:val="Heading3"/>
      </w:pPr>
      <w:r>
        <w:t xml:space="preserve">6.6.2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 randomized trial,</w:t>
      </w:r>
      <w:r>
        <w:t xml:space="preserve"> </w:t>
      </w:r>
      <w:r>
        <w:t xml:space="preserve">treatment assignment is independent of pre-treatment covariates,</w:t>
      </w:r>
      <w:r>
        <w:t xml:space="preserve"> </w:t>
      </w:r>
      <w:r>
        <w:t xml:space="preserve">so confounding adjustment is not required to estimate the causal effect.</w:t>
      </w:r>
      <w:r>
        <w:t xml:space="preserve"> </w:t>
      </w:r>
      <w:r>
        <w:t xml:space="preserve">However, adjusting for strong predictors of the outcome</w:t>
      </w:r>
      <w:r>
        <w:t xml:space="preserve"> </w:t>
      </w:r>
      <w:r>
        <w:t xml:space="preserve">can improve precision.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57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58"/>
    <w:bookmarkEnd w:id="59"/>
    <w:bookmarkStart w:id="65" w:name="sec-pred-sel-wcgs-dag"/>
    <w:p>
      <w:pPr>
        <w:pStyle w:val="Heading2"/>
      </w:pPr>
      <w:r>
        <w:t xml:space="preserve">6.7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 confounding of the treatment-outcome relationship is not a concern.</w:t>
      </w:r>
      <w:r>
        <w:t xml:space="preserve"> </w:t>
      </w:r>
      <w:r>
        <w:t xml:space="preserve">To illustrate DAG-guided confounder 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 risk</w:t>
      </w:r>
      <w:r>
        <w:t xml:space="preserve"> </w:t>
      </w:r>
      <w:r>
        <w:t xml:space="preserve">independently of classic cardiovascular risk factors.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6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64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 mediator 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 backdoor paths 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65"/>
    <w:bookmarkEnd w:id="66"/>
    <w:bookmarkStart w:id="74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69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 covariates a regression model 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(consistency, conditional exchangeability, and positivity),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 confounders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 regression model.</w:t>
      </w:r>
    </w:p>
    <w:bookmarkStart w:id="70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 ATE by:</w:t>
      </w:r>
    </w:p>
    <w:p>
      <w:pPr>
        <w:numPr>
          <w:ilvl w:val="0"/>
          <w:numId w:val="1013"/>
        </w:numPr>
      </w:pPr>
      <w:r>
        <w:t xml:space="preserve">Fitting a regression model: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3"/>
        </w:numPr>
      </w:pPr>
      <w:r>
        <w:t xml:space="preserve">Predicting the potential outcome 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Averaging over the study population: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3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 biased causal estimates</w:t>
      </w:r>
      <w:r>
        <w:t xml:space="preserve"> </w:t>
      </w:r>
      <w:r>
        <w:t xml:space="preserve">even if confounders 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4"/>
        </w:numPr>
      </w:pPr>
      <w:r>
        <w:t xml:space="preserve">Binary outcomes (using logistic regression)</w:t>
      </w:r>
    </w:p>
    <w:p>
      <w:pPr>
        <w:pStyle w:val="Compact"/>
        <w:numPr>
          <w:ilvl w:val="0"/>
          <w:numId w:val="1014"/>
        </w:numPr>
      </w:pPr>
      <w:r>
        <w:t xml:space="preserve">Survival outcomes (using Cox or Weibull models)</w:t>
      </w:r>
    </w:p>
    <w:p>
      <w:pPr>
        <w:pStyle w:val="Compact"/>
        <w:numPr>
          <w:ilvl w:val="0"/>
          <w:numId w:val="1014"/>
        </w:numPr>
      </w:pPr>
      <w:r>
        <w:t xml:space="preserve">Multiple treatments or treatment levels</w:t>
      </w:r>
    </w:p>
    <w:bookmarkEnd w:id="70"/>
    <w:bookmarkStart w:id="71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 outcome is continuous</w:t>
      </w:r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 linear regression: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 consistency, conditional exchangeability,</w:t>
      </w:r>
      <w:r>
        <w:t xml:space="preserve"> </w:t>
      </w:r>
      <w:r>
        <w:t xml:space="preserve">and positivity,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 interactions,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71"/>
    <w:bookmarkStart w:id="73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 mediators 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 predictors of LDL</w:t>
      </w:r>
      <w:r>
        <w:t xml:space="preserve"> </w:t>
      </w:r>
      <w:r>
        <w:t xml:space="preserve">improves precision: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72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 confidence intervals than the unadjusted estimate.</w:t>
      </w:r>
    </w:p>
    <w:bookmarkEnd w:id="73"/>
    <w:bookmarkEnd w:id="74"/>
    <w:bookmarkStart w:id="85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 confounding adjustment in observational studies.</w:t>
      </w:r>
      <w:r>
        <w:t xml:space="preserve"> </w:t>
      </w:r>
      <w:r>
        <w:t xml:space="preserve">They replace adjustment for a high-dimensional confounder 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15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</w:t>
            </w:r>
            <w:r>
              <w:t xml:space="preserve"> </w:t>
            </w:r>
            <w:r>
              <w:t xml:space="preserve">given the observed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(conditional exchangeability 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propensity score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75"/>
        </w:tc>
      </w:tr>
    </w:tbl>
    <w:bookmarkStart w:id="76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 covariates,</w:t>
      </w:r>
      <w:r>
        <w:t xml:space="preserve"> </w:t>
      </w:r>
      <w:r>
        <w:t xml:space="preserve">typically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76"/>
    <w:bookmarkStart w:id="78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 quantiles.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 covariate</w:t>
      </w:r>
      <w:r>
        <w:t xml:space="preserve"> </w:t>
      </w:r>
      <w:r>
        <w:t xml:space="preserve">in a regression model for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16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ATE 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Reweighting by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 independent of covariates,</w:t>
            </w:r>
            <w:r>
              <w:t xml:space="preserve"> </w:t>
            </w:r>
            <w:r>
              <w:t xml:space="preserve">effectively removing confounding.</w:t>
            </w:r>
          </w:p>
          <w:bookmarkEnd w:id="77"/>
        </w:tc>
      </w:tr>
    </w:tbl>
    <w:bookmarkEnd w:id="78"/>
    <w:bookmarkStart w:id="84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 logistic regression model</w:t>
      </w:r>
      <w:r>
        <w:t xml:space="preserve"> </w:t>
      </w:r>
      <w:r>
        <w:t xml:space="preserve">predicting Type A behavior from the confounders</w:t>
      </w:r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6.7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 positivity.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83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 confounding 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84"/>
    <w:bookmarkEnd w:id="85"/>
    <w:bookmarkStart w:id="86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r>
        <w:rPr>
          <w:b/>
          <w:bCs/>
        </w:rPr>
        <w:t xml:space="preserve">Potential outcomes</w:t>
      </w:r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 individual causal effect 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 ATE, ATT, ATU 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Consistency</w:t>
      </w:r>
      <w:r>
        <w:t xml:space="preserve">: The observed outcome 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Exchangeability</w:t>
      </w:r>
      <w:r>
        <w:t xml:space="preserve">: Treatment assignment is independent</w:t>
      </w:r>
      <w:r>
        <w:t xml:space="preserve"> </w:t>
      </w:r>
      <w:r>
        <w:t xml:space="preserve">of potential outcomes, given measured confounders.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Positivity</w:t>
      </w:r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r>
        <w:rPr>
          <w:b/>
          <w:bCs/>
        </w:rPr>
        <w:t xml:space="preserve">Randomized experiments</w:t>
      </w:r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 confounding violates exchangeability.</w:t>
      </w:r>
      <w:r>
        <w:t xml:space="preserve"> </w:t>
      </w:r>
      <w:r>
        <w:t xml:space="preserve">DAGs help identify which variables are confounders, mediators,</w:t>
      </w:r>
      <w:r>
        <w:t xml:space="preserve"> </w:t>
      </w:r>
      <w:r>
        <w:t xml:space="preserve">and colliders, and the backdoor criterion 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 regression adjustment (G-computation)</w:t>
      </w:r>
      <w:r>
        <w:t xml:space="preserve"> </w:t>
      </w:r>
      <w:r>
        <w:t xml:space="preserve">and propensity score methods (matching, stratification, IPW) —</w:t>
      </w:r>
      <w:r>
        <w:t xml:space="preserve"> </w:t>
      </w:r>
      <w:r>
        <w:t xml:space="preserve">can recover causal estimates under these three core identification assumptions.</w:t>
      </w:r>
    </w:p>
    <w:bookmarkEnd w:id="86"/>
    <w:bookmarkStart w:id="87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Define potential outcomes</w:t>
      </w:r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 ATE, ATT, and ATU,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r>
        <w:t xml:space="preserve">consistency, exchangeability, and positivity.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apply the backdoor criterion to select sufficient adjustment sets.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the G-computation estimator</w:t>
      </w:r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 propensity score to remove confounding.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87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89"/>
    <w:bookmarkStart w:id="91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90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91"/>
    <w:bookmarkStart w:id="9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92"/>
    <w:bookmarkStart w:id="93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3"/>
    <w:bookmarkStart w:id="95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94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95"/>
    <w:bookmarkStart w:id="97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6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7"/>
    <w:bookmarkStart w:id="9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9"/>
    <w:bookmarkStart w:id="101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0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1"/>
    <w:bookmarkStart w:id="10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47" Target="media/rId47.png" /><Relationship Type="http://schemas.openxmlformats.org/officeDocument/2006/relationships/image" Id="rId61" Target="media/rId61.png" /><Relationship Type="http://schemas.openxmlformats.org/officeDocument/2006/relationships/image" Id="rId79" Target="media/rId79.png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98" Target="https://doi.org/10.1001/jama.1975.03260080034016" TargetMode="External" /><Relationship Type="http://schemas.openxmlformats.org/officeDocument/2006/relationships/hyperlink" Id="rId102" Target="https://doi.org/10.1007/978-1-4614-1353-0" TargetMode="External" /><Relationship Type="http://schemas.openxmlformats.org/officeDocument/2006/relationships/hyperlink" Id="rId100" Target="https://doi.org/10.1037/h0037350" TargetMode="External" /><Relationship Type="http://schemas.openxmlformats.org/officeDocument/2006/relationships/hyperlink" Id="rId96" Target="https://doi.org/10.1093/biomet/70.1.41" TargetMode="External" /><Relationship Type="http://schemas.openxmlformats.org/officeDocument/2006/relationships/hyperlink" Id="rId90" Target="https://doi.org/10.2307/2289064" TargetMode="External" /><Relationship Type="http://schemas.openxmlformats.org/officeDocument/2006/relationships/hyperlink" Id="rId94" Target="https://github.com/rmcelreath/stat_rethinking_2026" TargetMode="External" /><Relationship Type="http://schemas.openxmlformats.org/officeDocument/2006/relationships/hyperlink" Id="rId88" Target="https://www.hsph.harvard.edu/miguel-hernan/causal-inference-book/" TargetMode="External" /><Relationship Type="http://schemas.openxmlformats.org/officeDocument/2006/relationships/hyperlink" Id="rId37" Target="https://www.youtube.com/watch?v=lGR7D45Ww38" TargetMode="External" /><Relationship Type="http://schemas.openxmlformats.org/officeDocument/2006/relationships/hyperlink" Id="rId69" Target="https://www.youtube.com/watch?v=sTieMzOcre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98" Target="https://doi.org/10.1001/jama.1975.03260080034016" TargetMode="External" /><Relationship Type="http://schemas.openxmlformats.org/officeDocument/2006/relationships/hyperlink" Id="rId102" Target="https://doi.org/10.1007/978-1-4614-1353-0" TargetMode="External" /><Relationship Type="http://schemas.openxmlformats.org/officeDocument/2006/relationships/hyperlink" Id="rId100" Target="https://doi.org/10.1037/h0037350" TargetMode="External" /><Relationship Type="http://schemas.openxmlformats.org/officeDocument/2006/relationships/hyperlink" Id="rId96" Target="https://doi.org/10.1093/biomet/70.1.41" TargetMode="External" /><Relationship Type="http://schemas.openxmlformats.org/officeDocument/2006/relationships/hyperlink" Id="rId90" Target="https://doi.org/10.2307/2289064" TargetMode="External" /><Relationship Type="http://schemas.openxmlformats.org/officeDocument/2006/relationships/hyperlink" Id="rId94" Target="https://github.com/rmcelreath/stat_rethinking_2026" TargetMode="External" /><Relationship Type="http://schemas.openxmlformats.org/officeDocument/2006/relationships/hyperlink" Id="rId88" Target="https://www.hsph.harvard.edu/miguel-hernan/causal-inference-book/" TargetMode="External" /><Relationship Type="http://schemas.openxmlformats.org/officeDocument/2006/relationships/hyperlink" Id="rId37" Target="https://www.youtube.com/watch?v=lGR7D45Ww38" TargetMode="External" /><Relationship Type="http://schemas.openxmlformats.org/officeDocument/2006/relationships/hyperlink" Id="rId69" Target="https://www.youtube.com/watch?v=sTieMzOcre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2026-10-12T21:55:52Z</dcterms:created>
  <dcterms:modified xsi:type="dcterms:W3CDTF">2026-10-12T21:55:52Z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