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[3, Sec. 1.3]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[4, Sec. 4.1]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[3]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[4]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w:r>
              <w:t xml:space="preserve">$P(Y|\mathord{\smash[b]{\underset{\raise.3ex\hbox{$\scriptstyle\sim$}}{X}}\vphantom{X}})$</w:t>
            </w:r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$\mathord{\smash[b]{\underset{\raise.3ex\hbox{$\scriptstyle\sim$}}{X}}\vphantom{X}}$</w:t>
                  </w:r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[10, Sec. 2.2.1], Table 2.1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w:r>
              <w:t xml:space="preserve">$\eta \stackrel{\text{def}}{=}\mathord{\smash[b]{\underset{\raise.3ex\hbox{$\scriptstyle\sim$}}{x}}\vphantom{x}}\cdot \mathord{\smash[b]{\underset{\raise.3ex\hbox{$\scriptstyle\sim$}}{\beta}}\vphantom{\beta}}= g(\mu)$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2026-10-19T17:17:13Z</dcterms:created>
  <dcterms:modified xsi:type="dcterms:W3CDTF">2026-10-19T17:17:13Z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