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[1]</w:t>
      </w:r>
      <w:r>
        <w:t xml:space="preserve">.</w:t>
      </w:r>
    </w:p>
    <w:bookmarkEnd w:id="11"/>
    <w:bookmarkStart w:id="2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[2, Ch. 11]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[2, Ch. 11]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fixed-effect"/>
          <w:p>
            <w:pPr>
              <w:pStyle w:val="BodyText"/>
            </w:pPr>
            <w:r>
              <w:rPr>
                <w:b/>
                <w:bCs/>
              </w:rPr>
              <w:t xml:space="preserve">Definition 1 (Fixed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fixed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whose coefficient the model treats as an unknown constant,</w:t>
            </w:r>
            <w:r>
              <w:t xml:space="preserve"> </w:t>
            </w:r>
            <w:r>
              <w:t xml:space="preserve">such as the effect of a specific treatment</w:t>
            </w:r>
            <w:r>
              <w:t xml:space="preserve"> </w:t>
            </w:r>
            <w:r>
              <w:t xml:space="preserve">or the mean of a specific group;</w:t>
            </w:r>
            <w:r>
              <w:t xml:space="preserve"> </w:t>
            </w:r>
            <w:r>
              <w:t xml:space="preserve">the goal is to estimate that particular value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" w:name="exm-fixed-effect"/>
          <w:p>
            <w:pPr>
              <w:pStyle w:val="BodyText"/>
            </w:pPr>
            <w:r>
              <w:rPr>
                <w:b/>
                <w:bCs/>
              </w:rPr>
              <w:t xml:space="preserve">Example 1 (A treatment fixed effect)</w:t>
            </w:r>
            <w:r>
              <w:t xml:space="preserve"> </w:t>
            </w:r>
            <w:r>
              <w:t xml:space="preserve">In a trial comparing a new blood-pressure drug with a placebo,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the drug group 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the placebo group,</w:t>
            </w:r>
            <w:r>
              <w:t xml:space="preserve"> </w:t>
            </w:r>
            <w:r>
              <w:t xml:space="preserve">and suppose that the mean systolic blood pressure (in mmHg)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coefficients are fixed effects:</w:t>
            </w:r>
            <w:r>
              <w:t xml:space="preserve"> </w:t>
            </w:r>
            <w:r>
              <w:t xml:space="preserve">each is a single constant that applies to every participant.</w:t>
            </w:r>
            <w:r>
              <w:t xml:space="preserve"> </w:t>
            </w:r>
            <w:r>
              <w:t xml:space="preserve">The mean in the drug group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random-effect"/>
          <w:p>
            <w:pPr>
              <w:pStyle w:val="BodyText"/>
            </w:pPr>
            <w:r>
              <w:rPr>
                <w:b/>
                <w:bCs/>
              </w:rPr>
              <w:t xml:space="preserve">Definition 2 (Random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random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that treats the groups in the data</w:t>
            </w:r>
            <w:r>
              <w:t xml:space="preserve"> </w:t>
            </w:r>
            <w:r>
              <w:t xml:space="preserve">as a sample from a larger population of groups:</w:t>
            </w:r>
            <w:r>
              <w:t xml:space="preserve"> </w:t>
            </w:r>
            <w:r>
              <w:t xml:space="preserve">each group’s effect is 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groups’ effects are drawn from a common distribution,</w:t>
            </w:r>
            <w:r>
              <w:t xml:space="preserve"> </w:t>
            </w:r>
            <w:r>
              <w:t xml:space="preserve">such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α</m:t>
                    </m:r>
                  </m:e>
                  <m:sub>
                    <m:r>
                      <m:t>a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iid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parameters of interest are then the parameters of that distribution,</w:t>
            </w:r>
            <w:r>
              <w:t xml:space="preserve"> </w:t>
            </w:r>
            <w:r>
              <w:t xml:space="preserve">especially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rather than the effects of the particular groups in the 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random-effect"/>
          <w:p>
            <w:pPr>
              <w:pStyle w:val="BodyText"/>
            </w:pPr>
            <w:r>
              <w:rPr>
                <w:b/>
                <w:bCs/>
              </w:rPr>
              <w:t xml:space="preserve">Example 2 (Patient random effects)</w:t>
            </w:r>
            <w:r>
              <w:t xml:space="preserve"> </w:t>
            </w:r>
            <w:r>
              <w:t xml:space="preserve">Suppose each of 20 patients has their systolic blood pressure measured several times,</w:t>
            </w:r>
            <w:r>
              <w:t xml:space="preserve"> </w:t>
            </w:r>
            <w:r>
              <w:t xml:space="preserve">and patient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blood pressure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mmHg 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mmHg.</w:t>
            </w:r>
            <w:r>
              <w:t xml:space="preserve"> </w:t>
            </w:r>
            <w:r>
              <w:t xml:space="preserve">About 95% of a normal distribution lies within 1.96 standard deviations of its mean,</w:t>
            </w:r>
            <w:r>
              <w:t xml:space="preserve"> </w:t>
            </w:r>
            <w:r>
              <w:t xml:space="preserve">so about 95% of patients in the population have mean blood pressures between: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t> 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19.6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100.4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139.6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quantity this model is built to estimate is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describes all patients in the population,</w:t>
            </w:r>
            <w:r>
              <w:t xml:space="preserve"> </w:t>
            </w:r>
            <w:r>
              <w:t xml:space="preserve">not only the 20 patients who happen to be in the study.</w:t>
            </w:r>
          </w:p>
          <w:bookmarkEnd w:id="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3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8"/>
          <w:p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mixed-model"/>
          <w:p>
            <w:pPr>
              <w:pStyle w:val="BodyText"/>
            </w:pPr>
            <w:r>
              <w:rPr>
                <w:b/>
                <w:bCs/>
              </w:rPr>
              <w:t xml:space="preserve">Definition 3 (Mixed-effects model (mixed model))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mixed-effects model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mixed model</w:t>
            </w:r>
            <w:r>
              <w:t xml:space="preserve">)</w:t>
            </w:r>
            <w:r>
              <w:t xml:space="preserve"> </w:t>
            </w:r>
            <w:r>
              <w:t xml:space="preserve">is a regression model that contains</w:t>
            </w:r>
            <w:r>
              <w:t xml:space="preserve"> </w:t>
            </w:r>
            <w:r>
              <w:t xml:space="preserve">both fixed effects (</w:t>
            </w:r>
            <w:hyperlink w:anchor="def-fixed-effect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random effects (</w:t>
            </w:r>
            <w:hyperlink w:anchor="def-random-effec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[1], [2, Ch. 11]</w:t>
            </w:r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Whether a term is fixed or random is part of the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.</w:t>
      </w:r>
      <w:r>
        <w:t xml:space="preserve"> </w:t>
      </w:r>
      <w:r>
        <w:t xml:space="preserve">It does not determine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same mixed-effects model can be fit by maximum likelihood,</w:t>
      </w:r>
      <w:r>
        <w:t xml:space="preserve"> </w:t>
      </w:r>
      <w:r>
        <w:t xml:space="preserve">by restricted maximum likelihood (REML),</w:t>
      </w:r>
      <w:r>
        <w:t xml:space="preserve"> </w:t>
      </w:r>
      <w:r>
        <w:t xml:space="preserve">or by Bayesian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mixed-model-random-intercept"/>
          <w:p>
            <w:pPr>
              <w:pStyle w:val="BodyText"/>
            </w:pPr>
            <w:r>
              <w:rPr>
                <w:b/>
                <w:bCs/>
              </w:rPr>
              <w:t xml:space="preserve">Example 4 (Linear mixed model with a random intercept)</w:t>
            </w:r>
            <w:r>
              <w:t xml:space="preserve"> </w:t>
            </w:r>
            <w:r>
              <w:t xml:space="preserve">For example, a linear mixed model with a random intercept for each group is</w:t>
            </w:r>
          </w:p>
          <w:p>
            <w:pPr>
              <w:pStyle w:val="BodyText"/>
            </w:pPr>
            <w:r>
              <w:t xml:space="preserve">$$
    Y_{ij} \stackrel{\text{def}}{=}{\mathord{\smash[b]{\underset{\raise.3ex\hbox{$\scriptstyle\sim$}}{x}}\vphantom{x}}_{ij}}^{\top}\mathord{\smash[b]{\underset{\raise.3ex\hbox{$\scriptstyle\sim$}}{\beta}}\vphantom{\beta}}+ \alpha_i + \epsilon_{ij},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a vector of fixed effects,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random effect of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independent of 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s.</w:t>
            </w:r>
          </w:p>
          <w:bookmarkEnd w:id="2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mixed-model"/>
          <w:p>
            <w:pPr>
              <w:pStyle w:val="BodyText"/>
            </w:pPr>
            <w:r>
              <w:rPr>
                <w:b/>
                <w:bCs/>
              </w:rPr>
              <w:t xml:space="preserve">Example 5 (Drug trial with repeated measurements)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random-effec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that each patient in the drug trial has blood pressure measured several times,</w:t>
            </w:r>
            <w:r>
              <w:t xml:space="preserve"> </w:t>
            </w:r>
            <w:r>
              <w:t xml:space="preserve">and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 fixed effects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patient 3 takes the drug (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that patient’s random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mean blood pressure of patient 3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exm-not-mix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with only fixed effects)</w:t>
            </w:r>
            <w:r>
              <w:t xml:space="preserve"> </w:t>
            </w:r>
            <w:r>
              <w:t xml:space="preserve">The model in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mixed-effects model:</w:t>
            </w:r>
            <w:r>
              <w:t xml:space="preserve"> </w:t>
            </w:r>
            <w:r>
              <w:t xml:space="preserve">both of its coefficients are fixed effects,</w:t>
            </w:r>
            <w:r>
              <w:t xml:space="preserve"> </w:t>
            </w:r>
            <w:r>
              <w:t xml:space="preserve">and it has no random effects.</w:t>
            </w:r>
          </w:p>
          <w:bookmarkEnd w:id="22"/>
          <w:p/>
        </w:tc>
      </w:tr>
    </w:tbl>
    <w:p>
      <w:pPr>
        <w:pStyle w:val="BodyText"/>
      </w:pPr>
      <w:r>
        <w:t xml:space="preserve">The same ideas extend from linear models to logistic and Poisson regression</w:t>
      </w:r>
      <w:r>
        <w:t xml:space="preserve"> </w:t>
      </w:r>
      <w:r>
        <w:t xml:space="preserve">[1]</w:t>
      </w:r>
      <w:r>
        <w:t xml:space="preserve">.</w:t>
      </w:r>
    </w:p>
    <w:bookmarkEnd w:id="23"/>
    <w:bookmarkStart w:id="51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,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one-way random-effects ANOVA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variance components and their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method-of-moments estimates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nested random effects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has one grouping factor and no covariates</w:t>
      </w:r>
      <w:r>
        <w:t xml:space="preserve"> </w:t>
      </w:r>
      <w:r>
        <w:t xml:space="preserve">[1], [2, Ch. 11]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4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2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7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variance-components"/>
          <w:p>
            <w:pPr>
              <w:pStyle w:val="BodyText"/>
            </w:pPr>
            <w:r>
              <w:rPr>
                <w:b/>
                <w:bCs/>
              </w:rPr>
              <w:t xml:space="preserve">Definition 5 (Variance components)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variance-components-dyestuff"/>
          <w:p>
            <w:pPr>
              <w:pStyle w:val="BodyText"/>
            </w:pPr>
            <w:r>
              <w:rPr>
                <w:b/>
                <w:bCs/>
              </w:rPr>
              <w:t xml:space="preserve">Example 8 (Variance components of the dyestuff batches)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the variance of the batch means around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variance of the yields within a batch.</w:t>
            </w:r>
          </w:p>
          <w:bookmarkEnd w:id="34"/>
          <w:p/>
        </w:tc>
      </w:tr>
    </w:tbl>
    <w:p>
      <w:pPr>
        <w:pStyle w:val="BodyText"/>
      </w:pPr>
      <w:r>
        <w:t xml:space="preserve">The shared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</w:t>
      </w:r>
      <w:r>
        <w:t xml:space="preserve"> </w:t>
      </w:r>
      <w:hyperlink r:id="rId35">
        <w:r>
          <w:rPr>
            <w:rStyle w:val="Hyperlink"/>
          </w:rPr>
          <w:t xml:space="preserve">correlated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6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linearity of expectation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4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4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9 (Covariance between two dyestuff preparations)</w:t>
            </w:r>
            <w:r>
              <w:t xml:space="preserve"> </w:t>
            </w:r>
            <w:r>
              <w:t xml:space="preserve">Suppose, for illustration, that the true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true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 </w:t>
            </w:r>
            <w:r>
              <w:t xml:space="preserve">(these are the estimates for these data that</w:t>
            </w:r>
            <w:r>
              <w:t xml:space="preserve"> </w:t>
            </w:r>
            <w:hyperlink w:anchor="exm-dyestuff-vc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derives later,</w:t>
            </w:r>
            <w:r>
              <w:t xml:space="preserve"> </w:t>
            </w:r>
            <w:r>
              <w:t xml:space="preserve">treated here as the true values).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6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4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4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10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4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50"/>
          <w:p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.</w:t>
      </w:r>
    </w:p>
    <w:bookmarkEnd w:id="51"/>
    <w:bookmarkStart w:id="70" w:name="variance-components-1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</w:t>
      </w:r>
      <w:r>
        <w:t xml:space="preserve"> </w:t>
      </w:r>
      <w:hyperlink w:anchor="def-one-way-re">
        <w:r>
          <w:rPr>
            <w:rStyle w:val="Hyperlink"/>
          </w:rPr>
          <w:t xml:space="preserve">variance components</w:t>
        </w:r>
      </w:hyperlink>
      <w:r>
        <w:t xml:space="preserve"> </w:t>
      </w:r>
      <w:r>
        <w:t xml:space="preserve">uses the</w:t>
      </w:r>
      <w:r>
        <w:t xml:space="preserve"> </w:t>
      </w:r>
      <w:hyperlink r:id="rId52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from a</w:t>
      </w:r>
      <w:r>
        <w:t xml:space="preserve"> </w:t>
      </w:r>
      <w:hyperlink r:id="rId53">
        <w:r>
          <w:rPr>
            <w:rStyle w:val="Hyperlink"/>
          </w:rPr>
          <w:t xml:space="preserve">one-way analysis of variance</w:t>
        </w:r>
      </w:hyperlink>
      <w:r>
        <w:t xml:space="preserve"> </w:t>
      </w:r>
      <w:r>
        <w:t xml:space="preserve">(ANOVA) table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54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5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independent, identically distributed</w:t>
              </w:r>
            </w:hyperlink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for their variance,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62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63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64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5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>
            <w:pPr>
              <w:pStyle w:val="FirstParagraph"/>
            </w:pPr>
            <w:r>
              <w:t xml:space="preserve">are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 estimators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7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>
            <w:pPr>
              <w:pStyle w:val="FirstParagraph"/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11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8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69"/>
          <w:p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[1], [3]</w:t>
      </w:r>
      <w:r>
        <w:t xml:space="preserve">.</w:t>
      </w:r>
    </w:p>
    <w:bookmarkEnd w:id="70"/>
    <w:bookmarkStart w:id="79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</w:t>
      </w:r>
      <w:r>
        <w:t xml:space="preserve"> </w:t>
      </w: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7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71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12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[4]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</w:t>
            </w:r>
            <w:r>
              <w:t xml:space="preserve"> </w:t>
            </w:r>
            <w:hyperlink w:anchor="def-mixed-model">
              <w:r>
                <w:rPr>
                  <w:rStyle w:val="Hyperlink"/>
                </w:rPr>
                <w:t xml:space="preserve">mixed model</w:t>
              </w:r>
            </w:hyperlink>
            <w:r>
              <w:t xml:space="preserve"> </w:t>
            </w:r>
            <w:r>
              <w:t xml:space="preserve">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nested-re-cov"/>
          <w:p>
            <w:pPr>
              <w:pStyle w:val="BodyText"/>
            </w:pPr>
            <w:r>
              <w:rPr>
                <w:b/>
                <w:bCs/>
              </w:rPr>
              <w:t xml:space="preserve">Theorem 3 (Covariances in the two-level nested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" w:name="eq-nested-re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j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k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constant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does not change a covariance,</w:t>
            </w:r>
            <w:r>
              <w:t xml:space="preserve"> </w:t>
            </w:r>
            <w:r>
              <w:t xml:space="preserve">and covariance is bilinear,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constant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(bilinearity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the sum of the six cross covariances,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between two independent random variables,</w:t>
            </w:r>
            <w:r>
              <w:t xml:space="preserve"> </w:t>
            </w:r>
            <w:r>
              <w:t xml:space="preserve">so each is 0.</w:t>
            </w:r>
          </w:p>
          <w:p>
            <w:pPr>
              <w:pStyle w:val="BodyText"/>
            </w:pPr>
            <w:r>
              <w:t xml:space="preserve">Each remaining covariance is a variance when its two arguments are the same random variable,</w:t>
            </w:r>
            <w:r>
              <w:t xml:space="preserve"> </w:t>
            </w:r>
            <w:r>
              <w:t xml:space="preserve">and 0 when they are different, independent random variables: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otherwise.</w:t>
            </w:r>
          </w:p>
          <w:p>
            <w:pPr>
              <w:pStyle w:val="FirstParagraph"/>
            </w:pPr>
            <w:r>
              <w:t xml:space="preserve">Adding the three terms in each case of</w:t>
            </w:r>
            <w:r>
              <w:t xml:space="preserve"> </w:t>
            </w:r>
            <w:hyperlink w:anchor="eq-nested-re-cov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laboratory and batch conditions hold but the error condition fails,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 the laboratory condition holds,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none of the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nested-re-cov"/>
          <w:p>
            <w:pPr>
              <w:pStyle w:val="BodyText"/>
            </w:pPr>
            <w:r>
              <w:rPr>
                <w:b/>
                <w:bCs/>
              </w:rPr>
              <w:t xml:space="preserve">Example 13 (Correlations in the cooperative trial)</w:t>
            </w:r>
            <w:r>
              <w:t xml:space="preserve"> </w:t>
            </w:r>
            <w:r>
              <w:t xml:space="preserve">With the estimated variance components from</w:t>
            </w:r>
            <w:r>
              <w:t xml:space="preserve"> </w:t>
            </w:r>
            <w:hyperlink w:anchor="exm-coop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0.0602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0.0054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0.0063</m:t>
              </m:r>
            </m:oMath>
            <w:r>
              <w:t xml:space="preserve">,</w:t>
            </w:r>
            <w:r>
              <w:t xml:space="preserve"> </w:t>
            </w:r>
            <w:hyperlink w:anchor="thm-nested-re-cov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gives the variance of one measurement: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0.0063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case of the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each covariance by this variance gives the correlations: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replicates of the same batch: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0.0602</m:t>
              </m:r>
              <m:r>
                <m:rPr>
                  <m:sty m:val="p"/>
                </m:rPr>
                <m:t>+</m:t>
              </m:r>
              <m:r>
                <m:t>0.0054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=</m:t>
              </m:r>
              <m:r>
                <m:t>0.0656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0.912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batches from the same laboratory:</w:t>
            </w:r>
            <w:r>
              <w:t xml:space="preserve"> </w:t>
            </w:r>
            <m:oMath>
              <m:r>
                <m:t>0.0602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0.837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measurements from different laboratories: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Measurements from the same laboratory are highly correlated</w:t>
            </w:r>
            <w:r>
              <w:t xml:space="preserve"> </w:t>
            </w:r>
            <w:r>
              <w:t xml:space="preserve">even when they come from batches analyzed a month apart.</w:t>
            </w:r>
          </w:p>
          <w:bookmarkEnd w:id="76"/>
          <w:p/>
        </w:tc>
      </w:tr>
    </w:tbl>
    <w:p>
      <w:pPr>
        <w:pStyle w:val="BodyText"/>
      </w:pPr>
      <w:r>
        <w:t xml:space="preserve">Testing whether a variance component is zero is harder than testing a</w:t>
      </w:r>
      <w:r>
        <w:t xml:space="preserve"> </w:t>
      </w:r>
      <w:hyperlink w:anchor="def-fixed-effect">
        <w:r>
          <w:rPr>
            <w:rStyle w:val="Hyperlink"/>
          </w:rPr>
          <w:t xml:space="preserve">fixed effect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</w:t>
      </w:r>
      <w:r>
        <w:t xml:space="preserve"> </w:t>
      </w:r>
      <w:hyperlink r:id="rId77">
        <w:r>
          <w:rPr>
            <w:rStyle w:val="Hyperlink"/>
          </w:rPr>
          <w:t xml:space="preserve">parameter space</w:t>
        </w:r>
      </w:hyperlink>
      <w:r>
        <w:t xml:space="preserve">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</w:t>
      </w:r>
      <w:r>
        <w:t xml:space="preserve"> </w:t>
      </w:r>
      <w:hyperlink r:id="rId78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does not apply</w:t>
      </w:r>
      <w:r>
        <w:t xml:space="preserve"> </w:t>
      </w:r>
      <w:r>
        <w:t xml:space="preserve">[1]</w:t>
      </w:r>
      <w:r>
        <w:t xml:space="preserve">.</w:t>
      </w:r>
    </w:p>
    <w:bookmarkEnd w:id="79"/>
    <w:bookmarkStart w:id="106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8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partial pooling</w:t>
              </w:r>
            </w:hyperlink>
            <w:r>
              <w:t xml:space="preserve"> </w:t>
            </w:r>
            <w:r>
              <w:t xml:space="preserve">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86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same model structures can also be fit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</w:t>
      </w:r>
      <w:r>
        <w:t xml:space="preserve"> </w:t>
      </w:r>
      <w:hyperlink r:id="rId89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andom-effect">
        <w:r>
          <w:rPr>
            <w:rStyle w:val="Hyperlink"/>
          </w:rPr>
          <w:t xml:space="preserve">random-effects</w:t>
        </w:r>
      </w:hyperlink>
      <w:r>
        <w:t xml:space="preserve"> </w:t>
      </w:r>
      <w:r>
        <w:t xml:space="preserve">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14 (Radon in Minnesota homes)</w:t>
            </w:r>
            <w:r>
              <w:t xml:space="preserve"> </w:t>
            </w:r>
            <w:r>
              <w:t xml:space="preserve">Gelman and Hill [6, Ch. 12]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natural log</w:t>
              </w:r>
            </w:hyperlink>
            <w:r>
              <w:t xml:space="preserve"> </w:t>
            </w:r>
            <w:r>
              <w:t xml:space="preserve">of the radon measurement in the house;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91"/>
          <w:p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denote the true mean log radon level in county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There are three ways to estimate it</w:t>
      </w:r>
      <w:r>
        <w:t xml:space="preserve"> </w:t>
      </w:r>
      <w:r>
        <w:t xml:space="preserve">[6, Ch. 12]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</w:t>
      </w:r>
      <w:r>
        <w:t xml:space="preserve"> </w:t>
      </w:r>
      <w:hyperlink r:id="rId92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4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93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precisions</w:t>
              </w:r>
            </w:hyperlink>
            <w:r>
              <w:t xml:space="preserve"> </w:t>
            </w:r>
            <w:r>
              <w:t xml:space="preserve">[6, Ch. 12]</w:t>
            </w:r>
            <w:r>
              <w:t xml:space="preserve">.</w:t>
            </w:r>
          </w:p>
          <w:bookmarkEnd w:id="9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uses the conditional distribution of one</w:t>
      </w:r>
      <w:r>
        <w:t xml:space="preserve"> </w:t>
      </w:r>
      <w:hyperlink r:id="rId96">
        <w:r>
          <w:rPr>
            <w:rStyle w:val="Hyperlink"/>
          </w:rPr>
          <w:t xml:space="preserve">normal variable</w:t>
        </w:r>
      </w:hyperlink>
      <w:r>
        <w:t xml:space="preserve"> </w:t>
      </w:r>
      <w:r>
        <w:t xml:space="preserve">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15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97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9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radon-shrinkag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fit works with log radon;</w:t>
            </w:r>
            <w:r>
              <w:br/>
            </w:r>
            <w:r>
              <w:rPr>
                <w:rStyle w:val="CommentTok"/>
              </w:rPr>
              <w:t xml:space="preserve"># the y-axis ticks sit at the logs of round radon values, labelled in pCi/L</w:t>
            </w:r>
            <w:r>
              <w:br/>
            </w:r>
            <w:r>
              <w:rPr>
                <w:rStyle w:val="NormalTok"/>
              </w:rPr>
              <w:t xml:space="preserve">radon_ticks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radon_ybar,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yaxt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"Houses sampled in county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"County geometric-mean radon (pCi/L)"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axis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(radon_ticks),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radon_ticks)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radon_pp,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(radon_lmer0),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 pooling"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"Partial pooling"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intro-multilevel-models_files/figure-docx/radon-shrinkage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No-pooling and partial-pooling estimates of the county geometric-mean radon levels</w:t>
            </w:r>
            <w:r>
              <w:t xml:space="preserve"> </w:t>
            </w:r>
            <w:r>
              <w:t xml:space="preserve">(the exponentials of the estimated county means of log radon);</w:t>
            </w:r>
            <w:r>
              <w:t xml:space="preserve"> </w:t>
            </w:r>
            <w:r>
              <w:t xml:space="preserve">the dashed line is the complete-pooling estimate.</w:t>
            </w:r>
            <w:r>
              <w:t xml:space="preserve"> </w:t>
            </w:r>
            <w:r>
              <w:t xml:space="preserve">The model is fit to log radon,</w:t>
            </w:r>
            <w:r>
              <w:t xml:space="preserve"> </w:t>
            </w:r>
            <w:r>
              <w:t xml:space="preserve">so the radon axis is spaced logarithmically.</w:t>
            </w:r>
          </w:p>
          <w:bookmarkEnd w:id="102"/>
        </w:tc>
      </w:tr>
    </w:tbl>
    <w:p>
      <w:pPr>
        <w:pStyle w:val="BodyText"/>
      </w:pP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not arbitrary:</w:t>
      </w:r>
      <w:r>
        <w:t xml:space="preserve"> </w:t>
      </w:r>
      <w:r>
        <w:t xml:space="preserve">even without the normality assumptions,</w:t>
      </w:r>
      <w:r>
        <w:t xml:space="preserve"> </w:t>
      </w:r>
      <w:r>
        <w:t xml:space="preserve">it is the best choice among predictors that move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toward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 fixed fraction.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lem-partial-pooling-blp"/>
          <w:p>
            <w:pPr>
              <w:pStyle w:val="BodyText"/>
            </w:pPr>
            <w:r>
              <w:rPr>
                <w:b/>
                <w:bCs/>
              </w:rPr>
              <w:t xml:space="preserve">Lemma 1 (The partial-pooling weight minimizes mean squared error)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consider predictors of the group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̃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mean squared error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minimized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in</w:t>
            </w:r>
            <w:r>
              <w:t xml:space="preserve"> </w:t>
            </w:r>
            <w:hyperlink w:anchor="eq-partial-pooling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can also be written as</w:t>
            </w:r>
          </w:p>
          <w:p>
            <w:pPr>
              <w:pStyle w:val="BodyText"/>
            </w:pPr>
            <w:bookmarkStart w:id="103" w:name="eq-partial-pooling-weight"/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lemma does not need the normality assumptions of the model,</w:t>
            </w:r>
            <w:r>
              <w:t xml:space="preserve"> </w:t>
            </w:r>
            <w:r>
              <w:t xml:space="preserve">only the means, variances, and independence of its terms.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sample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has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 is independent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prediction error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terms have mean 0 and are independent,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error has mean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derivative with respect to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derivative,</w:t>
            </w:r>
            <w:r>
              <w:t xml:space="preserve"> </w:t>
            </w:r>
            <m:oMath>
              <m:r>
                <m:t>2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is positive,</w:t>
            </w:r>
            <w:r>
              <w:t xml:space="preserve"> </w:t>
            </w:r>
            <w:r>
              <w:t xml:space="preserve">so this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minimizer.</w:t>
            </w:r>
            <w:r>
              <w:t xml:space="preserve"> </w:t>
            </w:r>
            <w:r>
              <w:t xml:space="preserve">Dividing its numerator and denominator by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partial-pooling-blp"/>
          <w:p>
            <w:pPr>
              <w:pStyle w:val="BodyText"/>
            </w:pPr>
            <w:r>
              <w:rPr>
                <w:b/>
                <w:bCs/>
              </w:rPr>
              <w:t xml:space="preserve">Example 16 (Mean squared errors for Aitkin County)</w:t>
            </w:r>
            <w:r>
              <w:t xml:space="preserve"> </w:t>
            </w:r>
            <w:r>
              <w:t xml:space="preserve">Use the estimates from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as if they were the true values: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0.587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0.14675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artial-pooling-blp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0.0886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0.14675</m:t>
              </m:r>
            </m:oMath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Complete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0.1468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Partial pooling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0.0886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0.14675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0.0552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partial-pooling weight matches the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0.377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 mean squared error is smaller than that of either extreme.</w:t>
            </w:r>
          </w:p>
          <w:bookmarkEnd w:id="105"/>
          <w:p/>
        </w:tc>
      </w:tr>
    </w:tbl>
    <w:bookmarkEnd w:id="106"/>
    <w:bookmarkStart w:id="123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09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11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4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</w:t>
      </w:r>
      <w:r>
        <w:t xml:space="preserve"> </w:t>
      </w:r>
      <w:hyperlink w:anchor="def-fixed-effect">
        <w:r>
          <w:rPr>
            <w:rStyle w:val="Hyperlink"/>
          </w:rPr>
          <w:t xml:space="preserve">fixed effects</w:t>
        </w:r>
      </w:hyperlink>
      <w:r>
        <w:t xml:space="preserve">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</w:t>
      </w:r>
      <w:r>
        <w:t xml:space="preserve"> </w:t>
      </w:r>
      <w:hyperlink r:id="rId115">
        <w:r>
          <w:rPr>
            <w:rStyle w:val="Hyperlink"/>
          </w:rPr>
          <w:t xml:space="preserve">indicator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bivariate normal</w:t>
        </w:r>
      </w:hyperlink>
      <w:r>
        <w:t xml:space="preserve"> </w:t>
      </w:r>
      <w:r>
        <w:t xml:space="preserve">with mean zero.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17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and computes a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parameter space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hyperlink r:id="rId118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w:r>
              <w:t xml:space="preserve">is conservative</w:t>
            </w:r>
            <w:r>
              <w:t xml:space="preserve"> </w:t>
            </w:r>
            <w:r>
              <w:t xml:space="preserve">[1]</w:t>
            </w:r>
            <w:r>
              <w:t xml:space="preserve">;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also favor the simpler model.</w:t>
            </w:r>
          </w:p>
          <w:bookmarkEnd w:id="1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18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122"/>
          <w:p/>
        </w:tc>
      </w:tr>
    </w:tbl>
    <w:bookmarkEnd w:id="123"/>
    <w:bookmarkStart w:id="131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 </w:t>
      </w:r>
      <w:r>
        <w:t xml:space="preserve">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</w:t>
      </w:r>
      <w:r>
        <w:t xml:space="preserve"> </w:t>
      </w:r>
      <w:hyperlink r:id="rId124">
        <w:r>
          <w:rPr>
            <w:rStyle w:val="Hyperlink"/>
          </w:rPr>
          <w:t xml:space="preserve">binary outcome</w:t>
        </w:r>
      </w:hyperlink>
      <w:r>
        <w:t xml:space="preserve"> </w:t>
      </w:r>
      <w:r>
        <w:t xml:space="preserve">with random intercepts,</w:t>
      </w:r>
    </w:p>
    <w:p>
      <w:pPr>
        <w:pStyle w:val="BodyText"/>
      </w:pPr>
      <w:bookmarkStart w:id="125" w:name="eq-glmm"/>
      <w:r>
        <w:t xml:space="preserve">$$
    \operatorname{log}\mathopen{}\left\{\frac{\pi_{ij}}{1 - \pi_{ij}}\right\}\mathclose{} = {\mathord{\smash[b]{\underset{\raise.3ex\hbox{$\scriptstyle\sim$}}{x}}\vphantom{x}}_{ij}}^{\top}\mathord{\smash[b]{\underset{\raise.3ex\hbox{$\scriptstyle\sim$}}{\beta}}\vphantom{\beta}}+ \alpha_j,
    \qquad
    \alpha_j \ \sim_{\operatorname{iid}}\ \operatorname{N}\mathopen{}\left(0, \sigma_\alpha^2\right)\mathclose{}
     \qquad(22)$$</w:t>
      </w:r>
      <w:bookmarkEnd w:id="125"/>
    </w:p>
    <w:p>
      <w:pPr>
        <w:pStyle w:val="FirstParagraph"/>
      </w:pPr>
      <w:r>
        <w:t xml:space="preserve">[2, Ch. 11], [6, Ch. 14]</w:t>
      </w:r>
      <w:r>
        <w:t xml:space="preserve">.</w:t>
      </w:r>
      <w:r>
        <w:t xml:space="preserve"> </w:t>
      </w:r>
      <w:r>
        <w:t xml:space="preserve">Each group’s</w:t>
      </w:r>
      <w:r>
        <w:t xml:space="preserve"> </w:t>
      </w:r>
      <w:hyperlink r:id="rId126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19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 effect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128"/>
          <w:p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</w:t>
      </w:r>
      <w:r>
        <w:t xml:space="preserve"> </w:t>
      </w:r>
      <w:hyperlink r:id="rId129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 is nonlinear,</w:t>
      </w:r>
      <w:r>
        <w:t xml:space="preserve"> </w:t>
      </w:r>
      <w:r>
        <w:t xml:space="preserve">these coefficients are not the same as population-averaged</w:t>
      </w:r>
      <w:r>
        <w:t xml:space="preserve"> </w:t>
      </w:r>
      <w:hyperlink r:id="rId1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[2, Ch. 11]</w:t>
      </w:r>
      <w:r>
        <w:t xml:space="preserve">.</w:t>
      </w:r>
    </w:p>
    <w:bookmarkEnd w:id="131"/>
    <w:bookmarkStart w:id="150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10"/>
        </w:numPr>
      </w:pPr>
      <w:r>
        <w:t xml:space="preserve">May 25 - June 1 lectures</w:t>
      </w:r>
    </w:p>
    <w:p>
      <w:pPr>
        <w:pStyle w:val="Compact"/>
        <w:numPr>
          <w:ilvl w:val="0"/>
          <w:numId w:val="1009"/>
        </w:numPr>
      </w:pPr>
      <w:r>
        <w:t xml:space="preserve">Other UC Davis courses:</w:t>
      </w:r>
    </w:p>
    <w:p>
      <w:pPr>
        <w:pStyle w:val="Compact"/>
        <w:numPr>
          <w:ilvl w:val="1"/>
          <w:numId w:val="1011"/>
        </w:numPr>
      </w:pPr>
      <w:hyperlink r:id="rId132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12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12"/>
        </w:numPr>
      </w:pPr>
      <w:r>
        <w:t xml:space="preserve">materials, including syllabus and lecture videos:</w:t>
      </w:r>
      <w:r>
        <w:t xml:space="preserve"> </w:t>
      </w:r>
      <w:hyperlink r:id="rId134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11"/>
        </w:numPr>
      </w:pPr>
      <w:hyperlink r:id="rId135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3"/>
        </w:numPr>
      </w:pPr>
      <w:r>
        <w:t xml:space="preserve">usually taught every spring by</w:t>
      </w:r>
      <w:r>
        <w:t xml:space="preserve"> </w:t>
      </w:r>
      <w:hyperlink r:id="rId136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3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11"/>
        </w:numPr>
      </w:pPr>
      <w:hyperlink r:id="rId137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4"/>
        </w:numPr>
      </w:pPr>
      <w:r>
        <w:t xml:space="preserve">usually taught by</w:t>
      </w:r>
      <w:r>
        <w:t xml:space="preserve"> </w:t>
      </w:r>
      <w:hyperlink r:id="rId138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11"/>
        </w:numPr>
      </w:pPr>
      <w:hyperlink r:id="rId139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11"/>
        </w:numPr>
      </w:pPr>
      <w:hyperlink r:id="rId140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11"/>
        </w:numPr>
      </w:pPr>
      <w:hyperlink r:id="rId14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11"/>
        </w:numPr>
      </w:pPr>
      <w:hyperlink r:id="rId14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11"/>
        </w:numPr>
      </w:pPr>
      <w:hyperlink r:id="rId143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5"/>
        </w:numPr>
      </w:pPr>
      <w:r>
        <w:t xml:space="preserve">usually taught every winter by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1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11"/>
        </w:numPr>
      </w:pPr>
      <w:hyperlink r:id="rId146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11"/>
        </w:numPr>
      </w:pPr>
      <w:hyperlink r:id="rId147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9"/>
        </w:numPr>
      </w:pPr>
      <w:r>
        <w:t xml:space="preserve">Books:</w:t>
      </w:r>
    </w:p>
    <w:p>
      <w:pPr>
        <w:pStyle w:val="Compact"/>
        <w:numPr>
          <w:ilvl w:val="1"/>
          <w:numId w:val="1016"/>
        </w:numPr>
      </w:pPr>
      <w:r>
        <w:t xml:space="preserve">Dobson and Barnett [2]</w:t>
      </w:r>
      <w:r>
        <w:t xml:space="preserve"> </w:t>
      </w:r>
      <w:hyperlink r:id="rId148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6"/>
        </w:numPr>
      </w:pPr>
      <w:r>
        <w:t xml:space="preserve">Vittinghoff et al. [8]</w:t>
      </w:r>
      <w:r>
        <w:t xml:space="preserve"> </w:t>
      </w:r>
      <w:hyperlink r:id="rId149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6"/>
        </w:numPr>
      </w:pPr>
      <w:r>
        <w:t xml:space="preserve">Gelman and Hill [6]</w:t>
      </w:r>
    </w:p>
    <w:p>
      <w:pPr>
        <w:pStyle w:val="Compact"/>
        <w:numPr>
          <w:ilvl w:val="1"/>
          <w:numId w:val="1016"/>
        </w:numPr>
      </w:pPr>
      <w:r>
        <w:t xml:space="preserve">Jiang and Nguyen [9]</w:t>
      </w:r>
    </w:p>
    <w:p>
      <w:pPr>
        <w:pStyle w:val="Compact"/>
        <w:numPr>
          <w:ilvl w:val="2"/>
          <w:numId w:val="1017"/>
        </w:numPr>
      </w:pPr>
      <w:r>
        <w:t xml:space="preserve">by UC Davis Statistics Professor and GGE faculty member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6"/>
        </w:numPr>
      </w:pPr>
      <w:r>
        <w:t xml:space="preserve">Faraway [10]</w:t>
      </w:r>
    </w:p>
    <w:p>
      <w:pPr>
        <w:pStyle w:val="Compact"/>
        <w:numPr>
          <w:ilvl w:val="1"/>
          <w:numId w:val="1016"/>
        </w:numPr>
      </w:pPr>
      <w:r>
        <w:t xml:space="preserve">McCulloch et al. [11]</w:t>
      </w:r>
    </w:p>
    <w:p>
      <w:pPr>
        <w:pStyle w:val="Compact"/>
        <w:numPr>
          <w:ilvl w:val="1"/>
          <w:numId w:val="1016"/>
        </w:numPr>
      </w:pPr>
      <w:r>
        <w:t xml:space="preserve">Hedeker and Gibbons [12]</w:t>
      </w:r>
    </w:p>
    <w:p>
      <w:pPr>
        <w:pStyle w:val="Compact"/>
        <w:numPr>
          <w:ilvl w:val="1"/>
          <w:numId w:val="1016"/>
        </w:numPr>
      </w:pPr>
      <w:r>
        <w:t xml:space="preserve">Wakefield [13]</w:t>
      </w:r>
    </w:p>
    <w:p>
      <w:pPr>
        <w:pStyle w:val="Compact"/>
        <w:numPr>
          <w:ilvl w:val="1"/>
          <w:numId w:val="1016"/>
        </w:numPr>
      </w:pPr>
      <w:r>
        <w:t xml:space="preserve">Zuur [14]</w:t>
      </w:r>
    </w:p>
    <w:p>
      <w:pPr>
        <w:pStyle w:val="Compact"/>
        <w:numPr>
          <w:ilvl w:val="1"/>
          <w:numId w:val="1016"/>
        </w:numPr>
      </w:pPr>
      <w:r>
        <w:t xml:space="preserve">Diggle et al. [15]</w:t>
      </w:r>
    </w:p>
    <w:p>
      <w:pPr>
        <w:pStyle w:val="Compact"/>
        <w:numPr>
          <w:ilvl w:val="1"/>
          <w:numId w:val="1016"/>
        </w:numPr>
      </w:pPr>
      <w:r>
        <w:t xml:space="preserve">Fitzmaurice et al. [16]</w:t>
      </w:r>
    </w:p>
    <w:p>
      <w:pPr>
        <w:pStyle w:val="Compact"/>
        <w:numPr>
          <w:ilvl w:val="1"/>
          <w:numId w:val="1016"/>
        </w:numPr>
      </w:pPr>
      <w:r>
        <w:t xml:space="preserve">Fitzmaurice et al. [17]</w:t>
      </w:r>
    </w:p>
    <w:p>
      <w:pPr>
        <w:pStyle w:val="Compact"/>
        <w:numPr>
          <w:ilvl w:val="1"/>
          <w:numId w:val="1016"/>
        </w:numPr>
      </w:pPr>
      <w:r>
        <w:t xml:space="preserve">Gałecki and Burzykowski [18]</w:t>
      </w:r>
    </w:p>
    <w:p>
      <w:pPr>
        <w:pStyle w:val="Compact"/>
        <w:numPr>
          <w:ilvl w:val="1"/>
          <w:numId w:val="1016"/>
        </w:numPr>
      </w:pPr>
      <w:r>
        <w:t xml:space="preserve">Congdon [19]</w:t>
      </w:r>
    </w:p>
    <w:p>
      <w:pPr>
        <w:pStyle w:val="Compact"/>
        <w:numPr>
          <w:ilvl w:val="1"/>
          <w:numId w:val="1016"/>
        </w:numPr>
      </w:pPr>
      <w:r>
        <w:t xml:space="preserve">Molenberghs and Verbeke [20]</w:t>
      </w:r>
    </w:p>
    <w:p>
      <w:pPr>
        <w:pStyle w:val="Compact"/>
        <w:numPr>
          <w:ilvl w:val="1"/>
          <w:numId w:val="1016"/>
        </w:numPr>
      </w:pPr>
      <w:r>
        <w:t xml:space="preserve">Verbeke and Molenberghs [21]</w:t>
      </w:r>
    </w:p>
    <w:p>
      <w:pPr>
        <w:pStyle w:val="Compact"/>
        <w:numPr>
          <w:ilvl w:val="1"/>
          <w:numId w:val="1016"/>
        </w:numPr>
      </w:pPr>
      <w:r>
        <w:t xml:space="preserve">Jewell and Hubbard [22]</w:t>
      </w:r>
    </w:p>
    <w:p>
      <w:pPr>
        <w:pStyle w:val="Compact"/>
        <w:numPr>
          <w:ilvl w:val="2"/>
          <w:numId w:val="1018"/>
        </w:numPr>
      </w:pPr>
      <w:r>
        <w:t xml:space="preserve">by UC Berkeley professors</w:t>
      </w:r>
    </w:p>
    <w:bookmarkEnd w:id="150"/>
    <w:bookmarkStart w:id="188" w:name="references"/>
    <w:p>
      <w:pPr>
        <w:pStyle w:val="Heading1"/>
      </w:pPr>
      <w:r>
        <w:t xml:space="preserve">References</w:t>
      </w:r>
    </w:p>
    <w:bookmarkStart w:id="187" w:name="refs"/>
    <w:bookmarkStart w:id="151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51"/>
    <w:bookmarkStart w:id="153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152">
        <w:r>
          <w:rPr>
            <w:rStyle w:val="Hyperlink"/>
          </w:rPr>
          <w:t xml:space="preserve">https://doi.org/10.1201/9781315182780</w:t>
        </w:r>
      </w:hyperlink>
    </w:p>
    <w:bookmarkEnd w:id="153"/>
    <w:bookmarkStart w:id="155" w:name="ref-bates2015l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Bates, M. Mächler, B. Bolker, and S. Walker,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67, no. 1, pp. 1–48, 2015, doi:</w:t>
      </w:r>
      <w:r>
        <w:t xml:space="preserve"> </w:t>
      </w:r>
      <w:hyperlink r:id="rId154">
        <w:r>
          <w:rPr>
            <w:rStyle w:val="Hyperlink"/>
          </w:rPr>
          <w:t xml:space="preserve">10.18637/jss.v067.i01</w:t>
        </w:r>
      </w:hyperlink>
      <w:r>
        <w:t xml:space="preserve">.</w:t>
      </w:r>
    </w:p>
    <w:bookmarkEnd w:id="155"/>
    <w:bookmarkStart w:id="157" w:name="ref-venables2002moder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56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57"/>
    <w:bookmarkStart w:id="159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58">
        <w:r>
          <w:rPr>
            <w:rStyle w:val="Hyperlink"/>
          </w:rPr>
          <w:t xml:space="preserve">https://github.com/rmcelreath/stat_rethinking_2026</w:t>
        </w:r>
      </w:hyperlink>
    </w:p>
    <w:bookmarkEnd w:id="159"/>
    <w:bookmarkStart w:id="160" w:name="ref-gelman2006dat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60"/>
    <w:bookmarkStart w:id="162" w:name="ref-goodrich2024rstana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Goodrich, J. Gabry, I. Ali, and S. Brilleman,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2024. Available:</w:t>
      </w:r>
      <w:r>
        <w:t xml:space="preserve"> </w:t>
      </w:r>
      <w:hyperlink r:id="rId161">
        <w:r>
          <w:rPr>
            <w:rStyle w:val="Hyperlink"/>
          </w:rPr>
          <w:t xml:space="preserve">https://mc-stan.org/rstanarm/</w:t>
        </w:r>
      </w:hyperlink>
    </w:p>
    <w:bookmarkEnd w:id="162"/>
    <w:bookmarkStart w:id="164" w:name="ref-vittinghoff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https://doi.org/10.1007/978-1-4614-1353-0</w:t>
        </w:r>
      </w:hyperlink>
    </w:p>
    <w:bookmarkEnd w:id="164"/>
    <w:bookmarkStart w:id="166" w:name="ref-jiming202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Jiang and T. Nguyen,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, Second edition. in Springer series in statistics. New York, NY: Springer, 2021. doi:</w:t>
      </w:r>
      <w:r>
        <w:t xml:space="preserve"> </w:t>
      </w:r>
      <w:hyperlink r:id="rId165">
        <w:r>
          <w:rPr>
            <w:rStyle w:val="Hyperlink"/>
          </w:rPr>
          <w:t xml:space="preserve">10.1007/978-1-0716-1282-8</w:t>
        </w:r>
      </w:hyperlink>
      <w:r>
        <w:t xml:space="preserve">.</w:t>
      </w:r>
    </w:p>
    <w:bookmarkEnd w:id="166"/>
    <w:bookmarkStart w:id="168" w:name="ref-faraway2016extend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67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68"/>
    <w:bookmarkStart w:id="169" w:name="ref-mcculloch2008generaliz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69"/>
    <w:bookmarkStart w:id="170" w:name="ref-hedeker2006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R. Hedeker and R. D. Gibbons,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Wiley series in probability and statistics. Hoboken, N.J: Wiley-Interscience, 2006.</w:t>
      </w:r>
    </w:p>
    <w:bookmarkEnd w:id="170"/>
    <w:bookmarkStart w:id="171" w:name="ref-wakefield2013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71"/>
    <w:bookmarkStart w:id="172" w:name="ref-zuur2009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A. F. Zuur,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in Statistics for biology and health. New York ; Springer, 2009.</w:t>
      </w:r>
    </w:p>
    <w:bookmarkEnd w:id="172"/>
    <w:bookmarkStart w:id="173" w:name="ref-DigglePeter2013AoL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P. Diggle, S. Zeger, P. Heagerty, and K.-Y. Liang,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, Second edition., vol. 25. in Oxford statistical science series, vol. 25. United Kingdom: Oxford University Press, 2013, pp. xv–xv.</w:t>
      </w:r>
    </w:p>
    <w:bookmarkEnd w:id="173"/>
    <w:bookmarkStart w:id="175" w:name="ref-fitzmaurice2012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G. M. Fitzmaurice, N. M. Laird, and J. H. Ware,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, 2nd ed., vol. 998. in Wiley series in probability and statistics, vol. 998. Chicester: Wiley, 2012. doi:</w:t>
      </w:r>
      <w:r>
        <w:t xml:space="preserve"> </w:t>
      </w:r>
      <w:hyperlink r:id="rId174">
        <w:r>
          <w:rPr>
            <w:rStyle w:val="Hyperlink"/>
          </w:rPr>
          <w:t xml:space="preserve">10.1002/9781119513469</w:t>
        </w:r>
      </w:hyperlink>
      <w:r>
        <w:t xml:space="preserve">.</w:t>
      </w:r>
    </w:p>
    <w:bookmarkEnd w:id="175"/>
    <w:bookmarkStart w:id="177" w:name="ref-fitzmaurice2009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G. M. Fitzmaurice, M. Davidian, G. Verbeke, and G. Molenberghs,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Chapman &amp; hall/CRC handbooks of modern statistical methods. Boca Raton: CRC Press, 2009. doi:</w:t>
      </w:r>
      <w:r>
        <w:t xml:space="preserve"> </w:t>
      </w:r>
      <w:hyperlink r:id="rId176">
        <w:r>
          <w:rPr>
            <w:rStyle w:val="Hyperlink"/>
          </w:rPr>
          <w:t xml:space="preserve">10.1201/9781420011579</w:t>
        </w:r>
      </w:hyperlink>
      <w:r>
        <w:t xml:space="preserve">.</w:t>
      </w:r>
    </w:p>
    <w:bookmarkEnd w:id="177"/>
    <w:bookmarkStart w:id="179" w:name="ref-galecki2013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A. T. Gałecki and Tomasz. Burzykowski,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in Springer texts in statistics. New York, NY: Springer, 2013. doi:</w:t>
      </w:r>
      <w:r>
        <w:t xml:space="preserve"> </w:t>
      </w:r>
      <w:hyperlink r:id="rId178">
        <w:r>
          <w:rPr>
            <w:rStyle w:val="Hyperlink"/>
          </w:rPr>
          <w:t xml:space="preserve">10.1007/978-1-4614-3900-4</w:t>
        </w:r>
      </w:hyperlink>
      <w:r>
        <w:t xml:space="preserve">.</w:t>
      </w:r>
    </w:p>
    <w:bookmarkEnd w:id="179"/>
    <w:bookmarkStart w:id="180" w:name="ref-congdon202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D. Congdon,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, 2nd edition. Milton: CRC Press, 2020.</w:t>
      </w:r>
    </w:p>
    <w:bookmarkEnd w:id="180"/>
    <w:bookmarkStart w:id="182" w:name="ref-molenberghs2005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Geert. Molenberghs and Geert. Verbeke,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in Springer series in statistics. New York: Springer Science+Business Media, Inc., 2005. doi:</w:t>
      </w:r>
      <w:r>
        <w:t xml:space="preserve"> </w:t>
      </w:r>
      <w:hyperlink r:id="rId181">
        <w:r>
          <w:rPr>
            <w:rStyle w:val="Hyperlink"/>
          </w:rPr>
          <w:t xml:space="preserve">10.1007/0-387-28980-1</w:t>
        </w:r>
      </w:hyperlink>
      <w:r>
        <w:t xml:space="preserve">.</w:t>
      </w:r>
    </w:p>
    <w:bookmarkEnd w:id="182"/>
    <w:bookmarkStart w:id="184" w:name="ref-VerbekeGeert2000LMM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Verbeke and G. Molenberghs,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, 1st ed. in Springer series in statistics. New York, NY: SpringerLink (Online service); Springer, 2000. doi:</w:t>
      </w:r>
      <w:r>
        <w:t xml:space="preserve"> </w:t>
      </w:r>
      <w:hyperlink r:id="rId183">
        <w:r>
          <w:rPr>
            <w:rStyle w:val="Hyperlink"/>
          </w:rPr>
          <w:t xml:space="preserve">10.1007/978-1-4419-0300-6</w:t>
        </w:r>
      </w:hyperlink>
      <w:r>
        <w:t xml:space="preserve">.</w:t>
      </w:r>
    </w:p>
    <w:bookmarkEnd w:id="184"/>
    <w:bookmarkStart w:id="186" w:name="ref-jewell2016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N. P. Jewell and A. E. Hubbard,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in Chapman &amp; hall/CRC texts in statistical science. Taylor &amp; Francis, 2016. Available:</w:t>
      </w:r>
      <w:r>
        <w:t xml:space="preserve"> </w:t>
      </w:r>
      <w:hyperlink r:id="rId185">
        <w:r>
          <w:rPr>
            <w:rStyle w:val="Hyperlink"/>
          </w:rPr>
          <w:t xml:space="preserve">https://books.google.com/books?id=-LoLPQAACAAJ</w:t>
        </w:r>
      </w:hyperlink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5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4" Target="https://doi.org/10.1002/9781119513469" TargetMode="External" /><Relationship Type="http://schemas.openxmlformats.org/officeDocument/2006/relationships/hyperlink" Id="rId181" Target="https://doi.org/10.1007/0-387-28980-1" TargetMode="External" /><Relationship Type="http://schemas.openxmlformats.org/officeDocument/2006/relationships/hyperlink" Id="rId156" Target="https://doi.org/10.1007/978-0-387-21706-2" TargetMode="External" /><Relationship Type="http://schemas.openxmlformats.org/officeDocument/2006/relationships/hyperlink" Id="rId165" Target="https://doi.org/10.1007/978-1-0716-1282-8" TargetMode="External" /><Relationship Type="http://schemas.openxmlformats.org/officeDocument/2006/relationships/hyperlink" Id="rId183" Target="https://doi.org/10.1007/978-1-4419-0300-6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78" Target="https://doi.org/10.1007/978-1-4614-3900-4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7" Target="https://doi.org/10.1201/9781315382722" TargetMode="External" /><Relationship Type="http://schemas.openxmlformats.org/officeDocument/2006/relationships/hyperlink" Id="rId176" Target="https://doi.org/10.1201/9781420011579" TargetMode="External" /><Relationship Type="http://schemas.openxmlformats.org/officeDocument/2006/relationships/hyperlink" Id="rId154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58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1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5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4" Target="https://doi.org/10.1002/9781119513469" TargetMode="External" /><Relationship Type="http://schemas.openxmlformats.org/officeDocument/2006/relationships/hyperlink" Id="rId181" Target="https://doi.org/10.1007/0-387-28980-1" TargetMode="External" /><Relationship Type="http://schemas.openxmlformats.org/officeDocument/2006/relationships/hyperlink" Id="rId156" Target="https://doi.org/10.1007/978-0-387-21706-2" TargetMode="External" /><Relationship Type="http://schemas.openxmlformats.org/officeDocument/2006/relationships/hyperlink" Id="rId165" Target="https://doi.org/10.1007/978-1-0716-1282-8" TargetMode="External" /><Relationship Type="http://schemas.openxmlformats.org/officeDocument/2006/relationships/hyperlink" Id="rId183" Target="https://doi.org/10.1007/978-1-4419-0300-6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78" Target="https://doi.org/10.1007/978-1-4614-3900-4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7" Target="https://doi.org/10.1201/9781315382722" TargetMode="External" /><Relationship Type="http://schemas.openxmlformats.org/officeDocument/2006/relationships/hyperlink" Id="rId176" Target="https://doi.org/10.1201/9781420011579" TargetMode="External" /><Relationship Type="http://schemas.openxmlformats.org/officeDocument/2006/relationships/hyperlink" Id="rId154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58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1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2026-10-19T17:22:56Z</dcterms:created>
  <dcterms:modified xsi:type="dcterms:W3CDTF">2026-10-19T17:22:56Z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