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" w:name="tbl-km-n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Kaplan-Meier and Nelson-Aalen calculations for the Part 1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KM_est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surv_data)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KM_est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data.frame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      =</w:t>
                  </w:r>
                  <w:r>
                    <w:rPr>
                      <w:rStyle w:val="NormalTok"/>
                    </w:rPr>
                    <w:t xml:space="preserve"> n.event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n.risk,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nonhazard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surv_KM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(nonhazard),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surv_NA     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(time, n.risk, n.event, hazard, surv_KM, cusum_hazard, surv_NA)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surv_table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4861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770"/>
                    <w:gridCol w:w="990"/>
                    <w:gridCol w:w="1100"/>
                    <w:gridCol w:w="990"/>
                    <w:gridCol w:w="1100"/>
                    <w:gridCol w:w="1650"/>
                    <w:gridCol w:w="110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n.event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surv_KM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cusum_hazard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surv_NA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0.8669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0.3333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0.1173</w:t>
                        </w:r>
                      </w:p>
                    </w:tc>
                  </w:tr>
                </w:tbl>
                <w:bookmarkEnd w:id="18"/>
                <w:p/>
              </w:tc>
            </w:tr>
          </w:tbl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tbl-wcg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Cox PH regression for the WCGS CHD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78"/>
                    <w:gridCol w:w="2178"/>
                    <w:gridCol w:w="1584"/>
                    <w:gridCol w:w="1485"/>
                    <w:gridCol w:w="49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Characteristic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  <m:r>
                                <m:t>R</m:t>
                              </m:r>
                            </m:e>
                          </m:acc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 for 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p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nonsmoker (ref.)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–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light smoker (</w:t>
                        </w:r>
                        <m:oMath>
                          <m:r>
                            <m:t>L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heavy smoker (</w:t>
                        </w:r>
                        <m:oMath>
                          <m:r>
                            <m:t>H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(1.63, 2.91)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per decade (</w:t>
                        </w:r>
                        <m:oMath>
                          <m:r>
                            <m:t>A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(1.56, 2.40)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behavior type A (</w:t>
                        </w:r>
                        <m:oMath>
                          <m:r>
                            <m:t>P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(1.58, 2.70)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overweight (</w:t>
                        </w:r>
                        <m:oMath>
                          <m:r>
                            <m:t>B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(1.05, 1.72)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 cholesterol (</w:t>
                        </w:r>
                        <m:oMath>
                          <m:r>
                            <m:t>C</m:t>
                          </m:r>
                        </m:oMath>
                        <w:r>
                          <w:t xml:space="preserve">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(1.65, 2.71)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0.001</w:t>
                        </w:r>
                      </w:p>
                    </w:tc>
                  </w:tr>
                </w:tbl>
                <w:bookmarkEnd w:id="43"/>
                <w:p/>
              </w:tc>
            </w:tr>
          </w:tbl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2026-10-22T17:12:13Z</dcterms:created>
  <dcterms:modified xsi:type="dcterms:W3CDTF">2026-10-22T17:12:13Z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