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mathematical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probability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r>
              <w:t xml:space="preserve">(Soch 2020)</w:t>
            </w:r>
            <w:r>
              <w:t xml:space="preserve"> </w:t>
            </w:r>
            <w:r>
              <w:t xml:space="preserve">for an alternative presentation of this proof.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specifically,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condition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condition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calculation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condition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condition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Fubini–Tonelli justification is required because the sum is infinite rather than finite.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condition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theorem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21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217"/>
    <w:bookmarkStart w:id="21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9"/>
    <w:bookmarkStart w:id="22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2026-09-29T06:00:26Z</dcterms:created>
  <dcterms:modified xsi:type="dcterms:W3CDTF">2026-09-29T06:00:26Z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