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PI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|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rPr>
                  <m:sty m:val="p"/>
                </m:rPr>
                <m:t>Σ</m:t>
              </m:r>
            </m:e>
          </m:acc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|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t>β</m:t>
        </m:r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Diagram of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link functions</w:t>
              </w:r>
            </w:hyperlink>
          </w:p>
          <w:bookmarkEnd w:id="48"/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nary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limLow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limLow>
                                    <m:e>
                                      <m:r>
                                        <m:t>x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limLow>
                                <m:e>
                                  <m:r>
                                    <m:t>y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limLow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Probability distribution functions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1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2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3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rPr>
                            <m:sty m:val="p"/>
                          </m:rP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4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5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r:id="rId156">
                    <w:r>
                      <w:rPr>
                        <w:rStyle w:val="Hyperlink"/>
                      </w:rPr>
                      <w:t xml:space="preserve">Log-hazard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57"/>
          <w:p/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176"/>
    <w:bookmarkStart w:id="178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2026-10-16T14:48:58Z</dcterms:created>
  <dcterms:modified xsi:type="dcterms:W3CDTF">2026-10-16T14:48:58Z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