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(Klein and Moeschberger 2003, chap. 2)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(Hernán and Robins 2020, chap. 17, Section 17.2)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(Klein and Moeschberger 2003, chap. 3)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(Kleinbaum and Klein 2012, chap. 1)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(Kleinbaum and Klein 2012, chap. 2; Klein and Moeschberger 2003, chap. 7)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433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434"/>
    <w:bookmarkStart w:id="436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36"/>
    <w:bookmarkStart w:id="438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437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438"/>
    <w:bookmarkStart w:id="4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0"/>
    <w:bookmarkStart w:id="441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441"/>
    <w:bookmarkStart w:id="443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42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443"/>
    <w:bookmarkStart w:id="444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44"/>
    <w:bookmarkStart w:id="446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45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46"/>
    <w:bookmarkStart w:id="44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4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48"/>
    <w:bookmarkStart w:id="45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4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50"/>
    <w:bookmarkStart w:id="45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451"/>
    <w:bookmarkStart w:id="45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45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453"/>
    <w:bookmarkStart w:id="45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5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2026-10-16T14:46:13Z</dcterms:created>
  <dcterms:modified xsi:type="dcterms:W3CDTF">2026-10-16T14:46:13Z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