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6.png" ContentType="image/png"/>
  <Override PartName="/word/media/rId165.png" ContentType="image/png"/>
  <Override PartName="/word/media/rId130.png" ContentType="image/png"/>
  <Override PartName="/word/media/rId19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tbl-oc-m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OC,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MI,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Total,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5000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"No 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Total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MI)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.after =</w:t>
                  </w:r>
                  <w:r>
                    <w:rPr>
                      <w:rStyle w:val="NormalTok"/>
                    </w:rPr>
                    <w:t xml:space="preserve"> MI)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totals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(MI,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Total), sum))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"Total"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(oc_mi, totals)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26"/>
                <w:p/>
              </w:tc>
            </w:tr>
          </w:tbl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7]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  <w:p/>
        </w:tc>
      </w:tr>
    </w:tbl>
    <w:bookmarkEnd w:id="38"/>
    <w:bookmarkStart w:id="71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  <w:p/>
        </w:tc>
      </w:tr>
    </w:tbl>
    <w:bookmarkEnd w:id="58"/>
    <w:bookmarkStart w:id="70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9"/>
          <w:p/>
        </w:tc>
      </w:tr>
    </w:tbl>
    <w:bookmarkEnd w:id="70"/>
    <w:bookmarkEnd w:id="71"/>
    <w:bookmarkStart w:id="180" w:name="odds-and-odds-ratios"/>
    <w:p>
      <w:pPr>
        <w:pStyle w:val="Heading2"/>
      </w:pPr>
      <w:r>
        <w:t xml:space="preserve">1.3 Odds and odds ratios</w:t>
      </w:r>
    </w:p>
    <w:bookmarkStart w:id="121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4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8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bookmarkEnd w:id="79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1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9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1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bookmarkEnd w:id="92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odds-prob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fig-odds-probs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Odds versus probability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3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6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9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bookmarkEnd w:id="1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1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2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0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0"/>
    <w:bookmarkEnd w:id="121"/>
    <w:bookmarkStart w:id="141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4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4"/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6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inv-odd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odds_inv,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"inverse-odds"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"x=y"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4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inverse odds function,</w:t>
            </w:r>
            <w:r>
              <w:t xml:space="preserve"> </w:t>
            </w:r>
            <m:oMath>
              <m:r>
                <m:rPr>
                  <m:sty m:val="p"/>
                </m:rPr>
                <m:t>invodds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</m:e>
              </m:d>
              <m:r>
                <m:t>​</m:t>
              </m:r>
            </m:oMath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5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0"/>
        </w:tc>
      </w:tr>
    </w:tbl>
    <w:bookmarkEnd w:id="141"/>
    <w:bookmarkStart w:id="179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5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8"/>
          <w:p/>
        </w:tc>
      </w:tr>
    </w:tbl>
    <w:bookmarkStart w:id="151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2x2-gener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 generic 2x2 table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c+d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b+d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a+b+c+d</w:t>
                  </w:r>
                </w:p>
              </w:tc>
            </w:tr>
          </w:tbl>
          <w:bookmarkEnd w:id="149"/>
          <w:p/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0"/>
        </w:tc>
      </w:tr>
    </w:tbl>
    <w:bookmarkEnd w:id="151"/>
    <w:bookmarkStart w:id="158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5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 the same steps as for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inserting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into the conditions (RHS of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t xml:space="preserve">) of every expression.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7"/>
          <w:p/>
        </w:tc>
      </w:tr>
    </w:tbl>
    <w:bookmarkEnd w:id="158"/>
    <w:bookmarkStart w:id="171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1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0"/>
          <w:p/>
        </w:tc>
      </w:tr>
    </w:tbl>
    <w:bookmarkEnd w:id="161"/>
    <w:bookmarkStart w:id="170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2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4"/>
          <w:p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rd-rr-or"/>
          <w:p>
            <w:pPr>
              <w:pStyle w:val="SourceCode"/>
              <w:jc w:val="center"/>
            </w:pP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(run_graphs) {</w:t>
            </w:r>
            <w:r>
              <w:br/>
            </w:r>
            <w:r>
              <w:rPr>
                <w:rStyle w:val="NormalTok"/>
              </w:rPr>
              <w:t xml:space="preserve">  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rPr>
                <w:rStyle w:val="NormalTok"/>
              </w:rPr>
              <w:t xml:space="preserve">  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(p2)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(p1)</w:t>
            </w:r>
            <w:r>
              <w:br/>
            </w:r>
            <w:r>
              <w:rPr>
                <w:rStyle w:val="NormalTok"/>
              </w:rPr>
              <w:t xml:space="preserve">  OR_minus_RR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OR</w:t>
            </w:r>
            <w:r>
              <w:rPr>
                <w:rStyle w:val="NormalTok"/>
              </w:rPr>
              <w:t xml:space="preserve">(p2, p1)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RR</w:t>
            </w:r>
            <w:r>
              <w:rPr>
                <w:rStyle w:val="NormalTok"/>
              </w:rPr>
              <w:t xml:space="preserve">(p2, p1)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br/>
            </w:r>
            <w:r>
              <w:rPr>
                <w:rStyle w:val="NormalTok"/>
              </w:rPr>
              <w:t xml:space="preserve">  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n_ticks)</w:t>
            </w:r>
            <w:r>
              <w:br/>
            </w:r>
            <w:r>
              <w:rPr>
                <w:rStyle w:val="NormalTok"/>
              </w:rPr>
              <w:t xml:space="preserve">  RD_mat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RD)</w:t>
            </w:r>
            <w:r>
              <w:br/>
            </w:r>
            <w:r>
              <w:rPr>
                <w:rStyle w:val="NormalTok"/>
              </w:rPr>
              <w:t xml:space="preserve">  RR_mat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RR)</w:t>
            </w:r>
            <w:r>
              <w:br/>
            </w:r>
            <w:r>
              <w:rPr>
                <w:rStyle w:val="NormalTok"/>
              </w:rPr>
              <w:t xml:space="preserve">  OR_mat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opacity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z_min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z_max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(RD_mat),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(OR_mat),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highlight the x = y line, where the two probabilities are equal: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there, the risk difference is 0 and the risk and odds ratios are 1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n_ticks),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n_ticks)),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"equal probabilities (x = y)"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inherit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"reference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(z_min, z_max),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metric"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camera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eye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aspectratio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graph-rd-rr-or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Graph of risk difference, risk ratio, and odds ratio.</w:t>
            </w:r>
            <w:r>
              <w:t xml:space="preserve"> </w:t>
            </w:r>
            <w:r>
              <w:t xml:space="preserve">The black lines mark where the two probabilities are equal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line):</w:t>
            </w:r>
            <w:r>
              <w:t xml:space="preserve"> </w:t>
            </w:r>
            <w:r>
              <w:t xml:space="preserve">there, the risk difference is 0</w:t>
            </w:r>
            <w:r>
              <w:t xml:space="preserve"> </w:t>
            </w:r>
            <w:r>
              <w:t xml:space="preserve">and the risk ratio and odds ratio are both 1.</w:t>
            </w:r>
          </w:p>
          <w:bookmarkEnd w:id="168"/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0"/>
    <w:bookmarkEnd w:id="171"/>
    <w:bookmarkStart w:id="177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oc-mi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7"/>
    <w:bookmarkStart w:id="178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8"/>
    <w:bookmarkEnd w:id="179"/>
    <w:bookmarkEnd w:id="180"/>
    <w:bookmarkStart w:id="215" w:name="the-logit-and-expit-functions"/>
    <w:p>
      <w:pPr>
        <w:pStyle w:val="Heading2"/>
      </w:pPr>
      <w:r>
        <w:t xml:space="preserve">1.4 The logit and expit functions</w:t>
      </w:r>
    </w:p>
    <w:bookmarkStart w:id="198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2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4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6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7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0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89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9"/>
                </w:p>
                <w:bookmarkEnd w:id="190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3"/>
          <w:p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logi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logit_plot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"logit(p)"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</w:p>
          <w:bookmarkEnd w:id="197"/>
        </w:tc>
      </w:tr>
    </w:tbl>
    <w:bookmarkEnd w:id="198"/>
    <w:bookmarkStart w:id="211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1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4"/>
          <w:p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expit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expit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(eta)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expit_plot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expit,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expit</w:t>
            </w:r>
            <w:r>
              <w:rPr>
                <w:rStyle w:val="NormalTok"/>
              </w:rPr>
              <w:t xml:space="preserve">(eta)))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(eta))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(expit_plot)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9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expit function</w:t>
            </w:r>
          </w:p>
          <w:bookmarkEnd w:id="20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0"/>
          <w:p/>
        </w:tc>
      </w:tr>
    </w:tbl>
    <w:bookmarkEnd w:id="211"/>
    <w:bookmarkStart w:id="214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expit-logit-diagram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Diagram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213"/>
        </w:tc>
      </w:tr>
    </w:tbl>
    <w:bookmarkEnd w:id="214"/>
    <w:bookmarkEnd w:id="215"/>
    <w:bookmarkEnd w:id="216"/>
    <w:bookmarkStart w:id="236" w:name="references"/>
    <w:p>
      <w:pPr>
        <w:pStyle w:val="Heading1"/>
      </w:pPr>
      <w:r>
        <w:t xml:space="preserve">References</w:t>
      </w:r>
    </w:p>
    <w:bookmarkStart w:id="235" w:name="refs"/>
    <w:bookmarkStart w:id="21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17">
        <w:r>
          <w:rPr>
            <w:rStyle w:val="Hyperlink"/>
          </w:rPr>
          <w:t xml:space="preserve">https://doi.org/10.1201/9781315182780</w:t>
        </w:r>
      </w:hyperlink>
    </w:p>
    <w:bookmarkEnd w:id="218"/>
    <w:bookmarkStart w:id="220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19">
        <w:r>
          <w:rPr>
            <w:rStyle w:val="Hyperlink"/>
          </w:rPr>
          <w:t xml:space="preserve">https://doi.org/10.1007/978-1-4614-1353-0</w:t>
        </w:r>
      </w:hyperlink>
    </w:p>
    <w:bookmarkEnd w:id="220"/>
    <w:bookmarkStart w:id="222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1">
        <w:r>
          <w:rPr>
            <w:rStyle w:val="Hyperlink"/>
          </w:rPr>
          <w:t xml:space="preserve">https://www.bookdown.org/rwnahhas/RMPH/</w:t>
        </w:r>
      </w:hyperlink>
    </w:p>
    <w:bookmarkEnd w:id="222"/>
    <w:bookmarkStart w:id="223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3"/>
    <w:bookmarkStart w:id="224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4"/>
    <w:bookmarkStart w:id="226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5">
        <w:r>
          <w:rPr>
            <w:rStyle w:val="Hyperlink"/>
          </w:rPr>
          <w:t xml:space="preserve">https://doi.org/10.1002/14651858.CD011054.pub2</w:t>
        </w:r>
      </w:hyperlink>
    </w:p>
    <w:bookmarkEnd w:id="226"/>
    <w:bookmarkStart w:id="228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27">
        <w:r>
          <w:rPr>
            <w:rStyle w:val="Hyperlink"/>
          </w:rPr>
          <w:t xml:space="preserve">https://statquest.org/</w:t>
        </w:r>
      </w:hyperlink>
    </w:p>
    <w:bookmarkEnd w:id="228"/>
    <w:bookmarkStart w:id="230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2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0"/>
    <w:bookmarkStart w:id="232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1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2"/>
    <w:bookmarkStart w:id="234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3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6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6" Target="media/rId96.png" /><Relationship Type="http://schemas.openxmlformats.org/officeDocument/2006/relationships/image" Id="rId165" Target="media/rId165.png" /><Relationship Type="http://schemas.openxmlformats.org/officeDocument/2006/relationships/image" Id="rId130" Target="media/rId130.png" /><Relationship Type="http://schemas.openxmlformats.org/officeDocument/2006/relationships/image" Id="rId194" Target="media/rId194.png" /><Relationship Type="http://schemas.openxmlformats.org/officeDocument/2006/relationships/image" Id="rId205" Target="media/rId205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9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33" Target="https://doi.org/10.1002/9780470580066" TargetMode="External" /><Relationship Type="http://schemas.openxmlformats.org/officeDocument/2006/relationships/hyperlink" Id="rId219" Target="https://doi.org/10.1007/978-1-4614-1353-0" TargetMode="External" /><Relationship Type="http://schemas.openxmlformats.org/officeDocument/2006/relationships/hyperlink" Id="rId231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7" Target="https://statquest.org/" TargetMode="External" /><Relationship Type="http://schemas.openxmlformats.org/officeDocument/2006/relationships/hyperlink" Id="rId221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9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33" Target="https://doi.org/10.1002/9780470580066" TargetMode="External" /><Relationship Type="http://schemas.openxmlformats.org/officeDocument/2006/relationships/hyperlink" Id="rId219" Target="https://doi.org/10.1007/978-1-4614-1353-0" TargetMode="External" /><Relationship Type="http://schemas.openxmlformats.org/officeDocument/2006/relationships/hyperlink" Id="rId231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7" Target="https://statquest.org/" TargetMode="External" /><Relationship Type="http://schemas.openxmlformats.org/officeDocument/2006/relationships/hyperlink" Id="rId221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2026-10-19T05:02:42Z</dcterms:created>
  <dcterms:modified xsi:type="dcterms:W3CDTF">2026-10-19T05:02:42Z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