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5.png" ContentType="image/png"/>
  <Override PartName="/word/media/rId161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2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1)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(Rothman et al. 2021)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(Aune et al. 2016)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(</w:t>
            </w:r>
            <w:r>
              <w:t xml:space="preserve">Gasparrini et al.</w:t>
            </w:r>
            <w:r>
              <w:t xml:space="preserve"> </w:t>
            </w:r>
            <w:r>
              <w:t xml:space="preserve">2015)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  <w:p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7.1)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  <w:p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7.3)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4)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  <w:p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7.4)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5)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  <w:p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  <w:p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(Wood 2017, sec. 4.2; James et al. 2021, sec. 7.4)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7.5)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5–6)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(Wood 2017, sec. 5.1; James et al. 2021, sec. 7.5)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PRSS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B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λ</m:t>
                  </m:r>
                </m:sub>
              </m:sSub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(Wood 2017, sec. 4.2; Hastie et al. 2009, sec. 5.4)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PRSS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scalar equals its transpose)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rPr>
                            <m:sty m:val="bi"/>
                          </m:rPr>
                          <m:t>P</m:t>
                        </m:r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quadratic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PRSS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linear form: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symmetric quadratic form)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(set the gradient to zero)</m:t>
                    </m:r>
                  </m:e>
                  <m:e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on the left by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λ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values of a basis expansion)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P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n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(invert the diagonal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  <w:p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(Wood 2017, sec. 6.2)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(Hastie et al. 2009, sec. 6.1)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7" w:name="fig-method-comparison-overlay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method-comparison-po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linear,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"longdash"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poly12,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poly-plo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Polynomial fits.</w:t>
                  </w:r>
                  <w:r>
                    <w:t xml:space="preserve"> </w:t>
                  </w:r>
                  <w:r>
                    <w:t xml:space="preserve">Quadratic underfits the central inflection;</w:t>
                  </w:r>
                  <w:r>
                    <w:t xml:space="preserve"> </w:t>
                  </w:r>
                  <w:r>
                    <w:t xml:space="preserve">the degree-12 polynomial chases the noise and swings wildly near the boundaries (Runge’s phenomenon).</w:t>
                  </w:r>
                </w:p>
                <w:bookmarkEnd w:id="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method-comparison-step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step,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tep-plot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Step function with 5 quantile-spaced bins.</w:t>
                  </w:r>
                  <w:r>
                    <w:t xml:space="preserve"> </w:t>
                  </w:r>
                  <w:r>
                    <w:t xml:space="preserve">Captures the broad shape but is discontinuous at each cutpoint — almost never the right model for a continuous exposure.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method-comparison-spline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ns,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gam,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plines-plot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Splines.</w:t>
                  </w:r>
                  <w:r>
                    <w:t xml:space="preserve"> </w:t>
                  </w:r>
                  <w:r>
                    <w:t xml:space="preserve">Both spline fits track the truth closely without the boundary swings of the degree-12 polynomial.</w:t>
                  </w:r>
                  <w:r>
                    <w:t xml:space="preserve"> </w:t>
                  </w:r>
                  <w:r>
                    <w:t xml:space="preserve">The smoothing spline (REML-selected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) has slightly less peak-to-peak amplitude because the penalty shrinks toward a straight line.</w:t>
                  </w:r>
                </w:p>
                <w:bookmarkEnd w:id="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6" w:name="fig-method-comparison-loes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loess,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loess-plot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LOESS with the default 50% span.</w:t>
                  </w:r>
                  <w:r>
                    <w:t xml:space="preserve"> </w:t>
                  </w:r>
                  <w:r>
                    <w:t xml:space="preserve">Similar shape to the splines but without a global closed-form parametric representation — the curve is computed on demand at any evaluation point rather than stored as a parametric formula.</w:t>
                  </w:r>
                </w:p>
                <w:bookmarkEnd w:id="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Comparison of nonlinear regression methods on synthetic data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0.4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.</w:t>
      </w:r>
      <w:r>
        <w:t xml:space="preserve"> </w:t>
      </w:r>
      <w:r>
        <w:t xml:space="preserve">Splines (both regression and smoothing) and LOESS track the truth closely;</w:t>
      </w:r>
      <w:r>
        <w:t xml:space="preserve"> </w:t>
      </w:r>
      <w:r>
        <w:t xml:space="preserve">quadratic polynomial underfits the multi- modal structure;</w:t>
      </w:r>
      <w:r>
        <w:t xml:space="preserve"> </w:t>
      </w:r>
      <w:r>
        <w:t xml:space="preserve">degree-12 polynomial overfits and swings at boundaries.</w:t>
      </w:r>
    </w:p>
    <w:bookmarkEnd w:id="97"/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4–7)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1.00 1.01  total = 4.01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sec. 6)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(Wood 2017, sec. 5.4)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[-0.000358419,-2.1343e-05]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[3.16164e-05,0.220195].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secs. 6.10–6.12)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Estimate Std. Error   z value     Pr(&gt;|z|)</w:t>
      </w:r>
      <w:r>
        <w:br/>
      </w:r>
      <w:r>
        <w:rPr>
          <w:rStyle w:val="CommentTok"/>
        </w:rPr>
        <w:t xml:space="preserve">#&gt; (Intercept)  -2.97147   0.117513 -25.28619 4.53227e-141</w:t>
      </w:r>
      <w:r>
        <w:br/>
      </w:r>
      <w:r>
        <w:rPr>
          <w:rStyle w:val="CommentTok"/>
        </w:rPr>
        <w:t xml:space="preserve">#&gt; dibpatType A  0.78173   0.141714   5.51627  3.46277e-08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p-value</w:t>
      </w:r>
      <w:r>
        <w:br/>
      </w:r>
      <w:r>
        <w:rPr>
          <w:rStyle w:val="CommentTok"/>
        </w:rPr>
        <w:t xml:space="preserve">#&gt; s(age) 1.00107 1.00214 36.4005 0.0000000</w:t>
      </w:r>
      <w:r>
        <w:br/>
      </w:r>
      <w:r>
        <w:rPr>
          <w:rStyle w:val="CommentTok"/>
        </w:rPr>
        <w:t xml:space="preserve">#&gt; s(bmi) 1.29959 1.54968 10.8386 0.0064354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(Wood 2013)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(Wood 2017, sec. 6.10)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(Wood 2017, sec. 6.10)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(Rosenman et al. 1975)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1.1e-06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1.4e-06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(Wood 2017, sec. 6.2)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(2017)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69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(2021, sec. 7.8)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(2023, sec. 7.8)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(James et al. 2021, sec. 7.1)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(James et al. 2021, sec. 7.2)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(James et al. 2021, sec. 7.4)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(James et al. 2021, secs. 7.5–7.6)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4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nested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with AIC</w:t>
      </w:r>
      <w:r>
        <w:t xml:space="preserve"> </w:t>
      </w:r>
      <w:r>
        <w:t xml:space="preserve">(James et al. 2021, sec. 7.7)</w:t>
      </w:r>
      <w:r>
        <w:t xml:space="preserve">.</w:t>
      </w:r>
      <w:r>
        <w:t xml:space="preserve"> </w:t>
      </w:r>
      <w:r>
        <w:t xml:space="preserve">This lab follows the ISLRv2 code, which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 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4"/>
    <w:bookmarkStart w:id="168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following</w:t>
      </w:r>
      <w:r>
        <w:t xml:space="preserve"> </w:t>
      </w:r>
      <w:r>
        <w:t xml:space="preserve">James et al. (2021, sec. 7.7)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8"/>
    <w:bookmarkEnd w:id="169"/>
    <w:bookmarkStart w:id="208" w:name="sec-gam-exercises"/>
    <w:p>
      <w:pPr>
        <w:pStyle w:val="Heading1"/>
      </w:pPr>
      <w:r>
        <w:t xml:space="preserve">14. Exercises</w:t>
      </w:r>
    </w:p>
    <w:bookmarkStart w:id="180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72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1"/>
          <w:p/>
        </w:tc>
      </w:tr>
    </w:tbl>
    <w:bookmarkEnd w:id="172"/>
    <w:bookmarkStart w:id="179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8"/>
          <w:p/>
        </w:tc>
      </w:tr>
    </w:tbl>
    <w:bookmarkEnd w:id="179"/>
    <w:bookmarkEnd w:id="180"/>
    <w:bookmarkStart w:id="207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86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(James et al. 2021)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5"/>
          <w:p/>
        </w:tc>
      </w:tr>
    </w:tbl>
    <w:bookmarkEnd w:id="186"/>
    <w:bookmarkStart w:id="206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.</w:t>
            </w:r>
          </w:p>
          <w:bookmarkEnd w:id="188"/>
          <w:p/>
        </w:tc>
      </w:tr>
    </w:tbl>
    <w:bookmarkStart w:id="205" w:name="refs"/>
    <w:bookmarkStart w:id="190" w:name="ref-aune2016bmi"/>
    <w:p>
      <w:pPr>
        <w:pStyle w:val="Bibliography"/>
      </w:pPr>
      <w:r>
        <w:t xml:space="preserve">Aune, Dagfinn, Abhijit Sen, Manya Prasad, et al. 2016.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353: i2156.</w:t>
      </w:r>
      <w:r>
        <w:t xml:space="preserve"> </w:t>
      </w:r>
      <w:hyperlink r:id="rId189">
        <w:r>
          <w:rPr>
            <w:rStyle w:val="Hyperlink"/>
          </w:rPr>
          <w:t xml:space="preserve">https://doi.org/10.1136/bmj.i2156</w:t>
        </w:r>
      </w:hyperlink>
      <w:r>
        <w:t xml:space="preserve">.</w:t>
      </w:r>
    </w:p>
    <w:bookmarkEnd w:id="190"/>
    <w:bookmarkStart w:id="192" w:name="ref-gasparrini2015mortality"/>
    <w:p>
      <w:pPr>
        <w:pStyle w:val="Bibliography"/>
      </w:pPr>
      <w:r>
        <w:t xml:space="preserve">Gasparrini, Antonio, Yuming Guo, Masahiro Hashizume, et al.</w:t>
      </w:r>
      <w:r>
        <w:t xml:space="preserve"> 2015.</w:t>
      </w:r>
      <w:r>
        <w:t xml:space="preserve"> </w:t>
      </w:r>
      <w:r>
        <w:t xml:space="preserve">“Mortality Risk Attributable to High and Low Ambient Temperature: A Multicountry Observational Study.”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386 (9991): 369–75.</w:t>
      </w:r>
      <w:r>
        <w:t xml:space="preserve"> </w:t>
      </w:r>
      <w:hyperlink r:id="rId191">
        <w:r>
          <w:rPr>
            <w:rStyle w:val="Hyperlink"/>
          </w:rPr>
          <w:t xml:space="preserve">https://doi.org/10.1016/S0140-6736(14)62114-0</w:t>
        </w:r>
      </w:hyperlink>
      <w:r>
        <w:t xml:space="preserve">.</w:t>
      </w:r>
    </w:p>
    <w:bookmarkEnd w:id="192"/>
    <w:bookmarkStart w:id="194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9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94"/>
    <w:bookmarkStart w:id="19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9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96"/>
    <w:bookmarkStart w:id="198" w:name="ref-james2023islp"/>
    <w:p>
      <w:pPr>
        <w:pStyle w:val="Bibliography"/>
      </w:pPr>
      <w:r>
        <w:t xml:space="preserve">James, Gareth, Daniela Witten, Trevor Hastie, Robert Tibshirani, and Jonathan Taylor. 2023.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Springer.</w:t>
      </w:r>
      <w:r>
        <w:t xml:space="preserve"> </w:t>
      </w:r>
      <w:hyperlink r:id="rId197">
        <w:r>
          <w:rPr>
            <w:rStyle w:val="Hyperlink"/>
          </w:rPr>
          <w:t xml:space="preserve">https://www.statlearning.com</w:t>
        </w:r>
      </w:hyperlink>
      <w:r>
        <w:t xml:space="preserve">.</w:t>
      </w:r>
    </w:p>
    <w:bookmarkEnd w:id="198"/>
    <w:bookmarkStart w:id="200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99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00"/>
    <w:bookmarkStart w:id="20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1"/>
    <w:bookmarkStart w:id="203" w:name="ref-wood2013pvalues"/>
    <w:p>
      <w:pPr>
        <w:pStyle w:val="Bibliography"/>
      </w:pPr>
      <w:r>
        <w:t xml:space="preserve">Wood, Simon N. 2013.</w:t>
      </w:r>
      <w:r>
        <w:t xml:space="preserve"> </w:t>
      </w:r>
      <w:r>
        <w:t xml:space="preserve">“On p-Values for Smooth Components of an Extended Generalized Additive Model.”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100 (1): 221–28.</w:t>
      </w:r>
      <w:r>
        <w:t xml:space="preserve"> </w:t>
      </w:r>
      <w:hyperlink r:id="rId202">
        <w:r>
          <w:rPr>
            <w:rStyle w:val="Hyperlink"/>
          </w:rPr>
          <w:t xml:space="preserve">https://doi.org/10.1093/biomet/ass048</w:t>
        </w:r>
      </w:hyperlink>
      <w:r>
        <w:t xml:space="preserve">.</w:t>
      </w:r>
    </w:p>
    <w:bookmarkEnd w:id="203"/>
    <w:bookmarkStart w:id="20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204"/>
    <w:bookmarkEnd w:id="205"/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5" Target="media/rId165.png" /><Relationship Type="http://schemas.openxmlformats.org/officeDocument/2006/relationships/image" Id="rId161" Target="media/rId161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2" Target="media/rId182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2026-10-16T09:03:00Z</dcterms:created>
  <dcterms:modified xsi:type="dcterms:W3CDTF">2026-10-16T09:03:00Z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