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5.png" ContentType="image/png"/>
  <Override PartName="/word/media/rId21.png" ContentType="image/png"/>
  <Override PartName="/word/media/rId10.png" ContentType="image/png"/>
  <Override PartName="/word/media/rId245.png" ContentType="image/png"/>
  <Override PartName="/word/media/rId362.png" ContentType="image/png"/>
  <Override PartName="/word/media/rId141.png" ContentType="image/png"/>
  <Override PartName="/word/media/rId110.png" ContentType="image/png"/>
  <Override PartName="/word/media/rId52.png" ContentType="image/png"/>
  <Override PartName="/word/media/rId63.png" ContentType="image/png"/>
  <Override PartName="/word/media/rId59.png" ContentType="image/png"/>
  <Override PartName="/word/media/rId356.png" ContentType="image/png"/>
  <Override PartName="/word/media/rId263.png" ContentType="image/png"/>
  <Override PartName="/word/media/rId242.png" ContentType="image/png"/>
  <Override PartName="/word/media/rId387.png" ContentType="image/png"/>
  <Override PartName="/word/media/rId37.png" ContentType="image/png"/>
  <Override PartName="/word/media/rId219.png" ContentType="image/png"/>
  <Override PartName="/word/media/rId225.png" ContentType="image/png"/>
  <Override PartName="/word/media/rId256.png" ContentType="image/png"/>
  <Override PartName="/word/media/rId43.png" ContentType="image/png"/>
  <Override PartName="/word/media/rId287.png" ContentType="image/png"/>
  <Override PartName="/word/media/rId72.png" ContentType="image/png"/>
  <Override PartName="/word/media/rId337.png" ContentType="image/png"/>
  <Override PartName="/word/media/rId78.png" ContentType="image/png"/>
  <Override PartName="/word/media/rId378.png" ContentType="image/png"/>
  <Override PartName="/word/media/rId398.png" ContentType="image/png"/>
  <Override PartName="/word/media/rId402.png" ContentType="image/png"/>
  <Override PartName="/word/media/rId425.png" ContentType="image/png"/>
  <Override PartName="/word/media/rId82.png" ContentType="image/png"/>
  <Override PartName="/word/media/rId120.png" ContentType="image/png"/>
  <Override PartName="/word/media/rId124.png" ContentType="image/png"/>
  <Override PartName="/word/media/rId1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Introduction to Survival Analysis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censoring,</w:t>
            </w:r>
            <w:r>
              <w:t xml:space="preserve"> </w:t>
            </w:r>
            <w:r>
              <w:t xml:space="preserve">survival, density, and hazard functions,</w:t>
            </w:r>
            <w:r>
              <w:t xml:space="preserve"> </w:t>
            </w:r>
            <w:r>
              <w:t xml:space="preserve">the exponential model and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ogrank-test">
              <w:r>
                <w:rPr>
                  <w:rStyle w:val="Hyperlink"/>
                </w:rPr>
                <w:t xml:space="preserve">log-rank test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</w:t>
      </w:r>
      <w:r>
        <w:t xml:space="preserve"> </w:t>
      </w:r>
      <w:hyperlink r:id="rId16">
        <w:r>
          <w:rPr>
            <w:rStyle w:val="Hyperlink"/>
          </w:rPr>
          <w:t xml:space="preserve">PDF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hyperlink w:anchor="def-inv-surv-fn">
        <w:r>
          <w:rPr>
            <w:rStyle w:val="Hyperlink"/>
          </w:rPr>
          <w:t xml:space="preserve">inverse survival (quantile) function</w:t>
        </w:r>
      </w:hyperlink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, and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</w:p>
    <w:p>
      <w:pPr>
        <w:pStyle w:val="Compact"/>
        <w:numPr>
          <w:ilvl w:val="0"/>
          <w:numId w:val="1001"/>
        </w:numPr>
      </w:pPr>
      <w:r>
        <w:t xml:space="preserve">Parametric models for survival data (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Weibull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na-cuhaz-est">
        <w:r>
          <w:rPr>
            <w:rStyle w:val="Hyperlink"/>
          </w:rPr>
          <w:t xml:space="preserve">Nelson-Aalen cumulative hazard estimator</w:t>
        </w:r>
      </w:hyperlink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emp-inv-surv-fn">
        <w:r>
          <w:rPr>
            <w:rStyle w:val="Hyperlink"/>
          </w:rPr>
          <w:t xml:space="preserve">empirical inverse survival function</w:t>
        </w:r>
      </w:hyperlink>
    </w:p>
    <w:bookmarkEnd w:id="20"/>
    <w:bookmarkStart w:id="25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</w:t>
            </w:r>
            <w:r>
              <w:t xml:space="preserve"> </w:t>
            </w:r>
            <w:r>
              <w:t xml:space="preserve">Survival outcomes can sometimes be analyzed using binomial models (</w:t>
            </w:r>
            <w:hyperlink r:id="rId24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25"/>
    <w:bookmarkStart w:id="34" w:name="time-to-event-outcome-distributions"/>
    <w:p>
      <w:pPr>
        <w:pStyle w:val="Heading1"/>
      </w:pPr>
      <w:r>
        <w:t xml:space="preserve">3. Time-to-event outcome distributions</w:t>
      </w:r>
    </w:p>
    <w:bookmarkStart w:id="33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</w:t>
      </w:r>
      <w:r>
        <w:t xml:space="preserve"> </w:t>
      </w:r>
      <w:hyperlink r:id="rId26">
        <w:r>
          <w:rPr>
            <w:rStyle w:val="Hyperlink"/>
          </w:rPr>
          <w:t xml:space="preserve">normal</w:t>
        </w:r>
      </w:hyperlink>
      <w:r>
        <w:t xml:space="preserve">, but</w:t>
      </w:r>
      <w:r>
        <w:t xml:space="preserve"> 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hyperlink w:anchor="def-right-censor">
        <w:r>
          <w:rPr>
            <w:rStyle w:val="Hyperlink"/>
            <w:b/>
            <w:bCs/>
          </w:rPr>
          <w:t xml:space="preserve">right-censored</w:t>
        </w:r>
      </w:hyperlink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hyperlink w:anchor="def-left-censor">
        <w:r>
          <w:rPr>
            <w:rStyle w:val="Hyperlink"/>
            <w:b/>
            <w:bCs/>
          </w:rPr>
          <w:t xml:space="preserve">left-censored</w:t>
        </w:r>
      </w:hyperlink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w:anchor="def-interval-censor">
        <w:r>
          <w:rPr>
            <w:rStyle w:val="Hyperlink"/>
            <w:b/>
            <w:bCs/>
          </w:rPr>
          <w:t xml:space="preserve">interval-censored</w:t>
        </w:r>
      </w:hyperlink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bookmarkEnd w:id="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exm-right-censor-clinical-trial"/>
          <w:p>
            <w:pPr>
              <w:pStyle w:val="BodyText"/>
            </w:pPr>
            <w:r>
              <w:rPr>
                <w:b/>
                <w:bCs/>
              </w:rPr>
              <w:t xml:space="preserve">Example 1 (Right censoring in a cancer clinical trial)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2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left-censor-hiv"/>
          <w:p>
            <w:pPr>
              <w:pStyle w:val="BodyText"/>
            </w:pPr>
            <w:r>
              <w:rPr>
                <w:b/>
                <w:bCs/>
              </w:rPr>
              <w:t xml:space="preserve">Example 2 (Left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exm-interval-censor-hiv"/>
          <w:p>
            <w:pPr>
              <w:pStyle w:val="BodyText"/>
            </w:pPr>
            <w:r>
              <w:rPr>
                <w:b/>
                <w:bCs/>
              </w:rPr>
              <w:t xml:space="preserve">Example 3 (Interval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32"/>
          <w:p/>
        </w:tc>
      </w:tr>
    </w:tbl>
    <w:bookmarkEnd w:id="33"/>
    <w:bookmarkEnd w:id="34"/>
    <w:bookmarkStart w:id="171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41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</w:t>
      </w:r>
      <w:r>
        <w:t xml:space="preserve"> </w:t>
      </w:r>
      <w:hyperlink r:id="rId35">
        <w:r>
          <w:rPr>
            <w:rStyle w:val="Hyperlink"/>
          </w:rPr>
          <w:t xml:space="preserve">continuous distribution</w:t>
        </w:r>
      </w:hyperlink>
      <w:r>
        <w:t xml:space="preserve">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</w:t>
      </w:r>
      <w:r>
        <w:t xml:space="preserve"> </w:t>
      </w:r>
      <w:hyperlink r:id="rId36">
        <w:r>
          <w:rPr>
            <w:rStyle w:val="Hyperlink"/>
          </w:rPr>
          <w:t xml:space="preserve">support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Recall from Epi 202: the pdf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40"/>
          <w:p/>
        </w:tc>
      </w:tr>
    </w:tbl>
    <w:bookmarkEnd w:id="41"/>
    <w:bookmarkStart w:id="46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  <w:b/>
            <w:bCs/>
          </w:rPr>
          <w:t xml:space="preserve">cumulative distribution function</w:t>
        </w:r>
      </w:hyperlink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Recall from Epi 202: the cdf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42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70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 (survivor function))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6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67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2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6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62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6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6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67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Tonelli’s theorem</w:t>
              </w:r>
            </w:hyperlink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70"/>
    <w:bookmarkStart w:id="91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 (survival quantile function))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7 (Exponential distribution)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5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75"/>
              </w:tc>
            </w:tr>
          </w:tbl>
          <w:bookmarkEnd w:id="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def-median-survival"/>
          <w:p>
            <w:pPr>
              <w:pStyle w:val="BodyText"/>
            </w:pPr>
            <w:r>
              <w:rPr>
                <w:b/>
                <w:bCs/>
              </w:rPr>
              <w:t xml:space="preserve">Definition 6 (Median survival time)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inv-surv-f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 survival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is the earliest time by which the survival probability</w:t>
            </w:r>
            <w:r>
              <w:t xml:space="preserve"> </w:t>
            </w:r>
            <w:r>
              <w:t xml:space="preserve">has fallen to or below one half: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rPr>
                        <m:nor/>
                        <m:sty m:val="p"/>
                      </m:rPr>
                      <m:t>med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(Klein and Moeschberger 2003, chap. 2)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continuous and strictly decreasing,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 </w:t>
      </w:r>
      <w:r>
        <w:t xml:space="preserve">is the unique time at which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:</w:t>
      </w:r>
      <w:r>
        <w:t xml:space="preserve"> </w:t>
      </w:r>
      <w:r>
        <w:t xml:space="preserve">half of the population has experienced the event by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,</w:t>
      </w:r>
      <w:r>
        <w:t xml:space="preserve"> </w:t>
      </w:r>
      <w:r>
        <w:t xml:space="preserve">and half has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7" w:name="exm-median-survival-exp"/>
          <w:p>
            <w:pPr>
              <w:pStyle w:val="BodyText"/>
            </w:pPr>
            <w:r>
              <w:rPr>
                <w:b/>
                <w:bCs/>
              </w:rPr>
              <w:t xml:space="preserve">Example 8 (Median survival time of an exponential distribution)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 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)?</w:t>
            </w:r>
          </w:p>
          <w:p>
            <w:pPr>
              <w:pStyle w:val="BodyText"/>
            </w:pPr>
            <w:r>
              <w:t xml:space="preserve">Using the exponential inverse survival function from</w:t>
            </w:r>
            <w:r>
              <w:t xml:space="preserve"> </w:t>
            </w:r>
            <w:hyperlink w:anchor="exm-inv-surv-exp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med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median survival time)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0.5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inverse survival function with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0.693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  <m:r>
                      <m:rPr>
                        <m:nor/>
                        <m:sty m:val="p"/>
                      </m:rPr>
                      <m:t> years.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86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1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7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8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7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8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8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8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86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8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median-survival-cure"/>
          <w:p>
            <w:pPr>
              <w:pStyle w:val="BodyText"/>
            </w:pPr>
            <w:r>
              <w:rPr>
                <w:b/>
                <w:bCs/>
              </w:rPr>
              <w:t xml:space="preserve">Example 9 (A survival function with no finite median (counterexample))</w:t>
            </w:r>
            <w:r>
              <w:t xml:space="preserve"> </w:t>
            </w:r>
            <w:r>
              <w:t xml:space="preserve">Suppose 60% of patients are cured and never experience the event,</w:t>
            </w:r>
            <w:r>
              <w:t xml:space="preserve"> </w:t>
            </w:r>
            <w:r>
              <w:t xml:space="preserve">while the other 40% have exponentially distributed event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To find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look for times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0.6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both sides by 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0.25</m:t>
              </m:r>
            </m:oMath>
            <w:r>
              <w:t xml:space="preserve">, because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0.5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empty,</w:t>
            </w:r>
            <w:r>
              <w:t xml:space="preserve"> </w:t>
            </w:r>
            <w:r>
              <w:t xml:space="preserve">so this population has no finite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(by the convention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).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91"/>
    <w:bookmarkStart w:id="135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7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2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hazard-interpret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(Interpretation of the hazard function).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hazard-naming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(Naming the hazard by the valence of the event). </w:t>
            </w: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8 (Incidence rate)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incidence rate is:</w:t>
            </w:r>
          </w:p>
          <w:p>
            <w:pPr>
              <w:pStyle w:val="BodyText"/>
            </w:pPr>
            <w:bookmarkStart w:id="100" w:name="eq-homogenous-incidence-proof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for all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(summing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identical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0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exm-homogenous-incidence"/>
          <w:p>
            <w:pPr>
              <w:pStyle w:val="BodyText"/>
            </w:pPr>
            <w:r>
              <w:rPr>
                <w:b/>
                <w:bCs/>
              </w:rPr>
              <w:t xml:space="preserve">Example 10 (Incidence rate in a homogenous population)</w:t>
            </w:r>
            <w:r>
              <w:t xml:space="preserve"> </w:t>
            </w:r>
            <w:r>
              <w:t xml:space="preserve">Suppose a population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each with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person-year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2" w:name="eq-homogen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p>
            <w:pPr>
              <w:pStyle w:val="FirstParagraph"/>
            </w:pPr>
            <w:r>
              <w:t xml:space="preserve">which equals the common hazard rate, as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0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heterogeneous-incidence"/>
          <w:p>
            <w:pPr>
              <w:pStyle w:val="BodyText"/>
            </w:pPr>
            <w:r>
              <w:rPr>
                <w:b/>
                <w:bCs/>
              </w:rPr>
              <w:t xml:space="preserve">Example 11 (Incidence rate in a heterogeneous population)</w:t>
            </w:r>
            <w:r>
              <w:t xml:space="preserve"> </w:t>
            </w:r>
            <w:r>
              <w:t xml:space="preserve">If instead the three individuals have hazard rates</w:t>
            </w:r>
            <w:r>
              <w:t xml:space="preserve"> </w:t>
            </w:r>
            <m:oMath>
              <m:r>
                <m:t>0.01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0.02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0.06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04" w:name="eq-heterogene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which differs from every individual’s hazard rate,</w:t>
            </w:r>
            <w:r>
              <w:t xml:space="preserve"> </w:t>
            </w:r>
            <w:r>
              <w:t xml:space="preserve">so the conclusion of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needs its assumption of identical hazards.</w:t>
            </w:r>
          </w:p>
          <w:bookmarkEnd w:id="10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10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this chapter, the comma notation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 the joint probability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  <m:r>
                                <m:rPr>
                                  <m:sty m:val="p"/>
                                </m:rPr>
                                <m:t>∩</m:t>
                              </m:r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≥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(comma notation for joint probability)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(subset property, since 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sty m:val="p"/>
                            </m:rPr>
                            <m:t>⊆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(notation for 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12 (exponential distribution)</w:t>
            </w:r>
            <w:r>
              <w:t xml:space="preserve"> </w:t>
            </w:r>
            <w:r>
              <w:t xml:space="preserve">The hazard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1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negative of the</w:t>
      </w:r>
      <w:r>
        <w:t xml:space="preserve"> </w:t>
      </w:r>
      <w:hyperlink r:id="rId115">
        <w:r>
          <w:rPr>
            <w:rStyle w:val="Hyperlink"/>
          </w:rPr>
          <w:t xml:space="preserve">logarithm</w:t>
        </w:r>
      </w:hyperlink>
      <w:r>
        <w:t xml:space="preserve"> </w:t>
      </w:r>
      <w:r>
        <w:t xml:space="preserve">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9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 increment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2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13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123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7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127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1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131"/>
              </w:tc>
            </w:tr>
          </w:tbl>
          <w:bookmarkEnd w:id="1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34"/>
        </w:tc>
      </w:tr>
    </w:tbl>
    <w:bookmarkEnd w:id="135"/>
    <w:bookmarkStart w:id="145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36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6"/>
          </w:p>
          <w:bookmarkEnd w:id="1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138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in</w:t>
      </w:r>
      <w:r>
        <w:t xml:space="preserve"> </w:t>
      </w:r>
      <w:hyperlink w:anchor="eq-surv-int-haz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11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39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using an approximate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estimated cumulative hazard.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The cumulative hazard function for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4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44"/>
        </w:tc>
      </w:tr>
    </w:tbl>
    <w:bookmarkEnd w:id="145"/>
    <w:bookmarkStart w:id="148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46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46"/>
    <w:bookmarkStart w:id="147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47"/>
    <w:bookmarkEnd w:id="148"/>
    <w:bookmarkStart w:id="160" w:name="hazard-versus-risk"/>
    <w:p>
      <w:pPr>
        <w:pStyle w:val="Heading2"/>
      </w:pPr>
      <w:r>
        <w:t xml:space="preserve">4.8 Hazard versus risk</w:t>
      </w:r>
    </w:p>
    <w:p>
      <w:pPr>
        <w:pStyle w:val="FirstParagraph"/>
      </w:pPr>
      <w:r>
        <w:t xml:space="preserve">In discrete time,</w:t>
      </w:r>
      <w:r>
        <w:t xml:space="preserve"> </w:t>
      </w:r>
      <w:r>
        <w:t xml:space="preserve">where follow-up is split into intervals,</w:t>
      </w:r>
      <w:r>
        <w:t xml:space="preserve"> </w:t>
      </w:r>
      <w:r>
        <w:t xml:space="preserve">the hazard and the risk are easy to confuse,</w:t>
      </w:r>
      <w:r>
        <w:t xml:space="preserve"> </w:t>
      </w:r>
      <w:r>
        <w:t xml:space="preserve">because both are probabilities of an event during follow-up.</w:t>
      </w:r>
      <w:r>
        <w:t xml:space="preserve"> </w:t>
      </w:r>
      <w:r>
        <w:t xml:space="preserve">The risk is cumulative from baseline,</w:t>
      </w:r>
      <w:r>
        <w:t xml:space="preserve"> </w:t>
      </w:r>
      <w:r>
        <w:t xml:space="preserve">while the</w:t>
      </w:r>
      <w:r>
        <w:t xml:space="preserve"> </w:t>
      </w:r>
      <w:hyperlink w:anchor="def-discrete-haz-risk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concerns a single interval</w:t>
      </w:r>
      <w:r>
        <w:t xml:space="preserve"> </w:t>
      </w:r>
      <w:r>
        <w:t xml:space="preserve">(unlike the</w:t>
      </w:r>
      <w:r>
        <w:t xml:space="preserve"> </w:t>
      </w:r>
      <w:hyperlink w:anchor="def-hazard">
        <w:r>
          <w:rPr>
            <w:rStyle w:val="Hyperlink"/>
          </w:rPr>
          <w:t xml:space="preserve">continuous-time hazard</w:t>
        </w:r>
      </w:hyperlink>
      <w:r>
        <w:t xml:space="preserve">, which is a</w:t>
      </w:r>
      <w:r>
        <w:t xml:space="preserve"> </w:t>
      </w:r>
      <w:hyperlink r:id="rId149">
        <w:r>
          <w:rPr>
            <w:rStyle w:val="Hyperlink"/>
          </w:rPr>
          <w:t xml:space="preserve">rate</w:t>
        </w:r>
      </w:hyperlink>
      <w:r>
        <w:t xml:space="preserve">, not a probability).</w:t>
      </w:r>
      <w:r>
        <w:t xml:space="preserve"> </w:t>
      </w:r>
      <w:r>
        <w:t xml:space="preserve">They answer different questions</w:t>
      </w:r>
      <w:r>
        <w:t xml:space="preserve"> </w:t>
      </w:r>
      <w:r>
        <w:t xml:space="preserve">(Hernán and Robins 2020, chap. 17, Section 17.2)</w:t>
      </w:r>
      <w:r>
        <w:t xml:space="preserve">:</w:t>
      </w:r>
    </w:p>
    <w:p>
      <w:pPr>
        <w:pStyle w:val="BlockText"/>
      </w:pPr>
      <w:r>
        <w:t xml:space="preserve">The risk and the hazard are different measures.</w:t>
      </w:r>
      <w:r>
        <w:t xml:space="preserve"> </w:t>
      </w:r>
      <w:r>
        <w:t xml:space="preserve">The denominator of the risk—the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That is, 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On the other hand, the denominator of the hazard—the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its numerator includes only recent events—those during interval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That is, the hazard may increase or decrease over time.</w:t>
      </w:r>
    </w:p>
    <w:p>
      <w:pPr>
        <w:pStyle w:val="FirstParagraph"/>
      </w:pPr>
      <w:r>
        <w:t xml:space="preserve">To make that comparison precise,</w:t>
      </w:r>
      <w:r>
        <w:t xml:space="preserve"> </w:t>
      </w:r>
      <w:r>
        <w:t xml:space="preserve">consider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takes values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such as the follow-up interval in which an event occurs.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def-discrete-risk"/>
          <w:p>
            <w:pPr>
              <w:pStyle w:val="BodyText"/>
            </w:pPr>
            <w:r>
              <w:rPr>
                <w:b/>
                <w:bCs/>
              </w:rPr>
              <w:t xml:space="preserve">Definition 12 (Discrete-time risk)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that takes values in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any interval up to and including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everyone at baseline.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def-discrete-haz-risk"/>
          <w:p>
            <w:pPr>
              <w:pStyle w:val="BodyText"/>
            </w:pPr>
            <w:r>
              <w:rPr>
                <w:b/>
                <w:bCs/>
              </w:rPr>
              <w:t xml:space="preserve">Definition 13 (Discrete-time hazard)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someone is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discrete-time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2" w:name="exm-haz-vs-risk"/>
          <w:p>
            <w:pPr>
              <w:pStyle w:val="BodyText"/>
            </w:pPr>
            <w:r>
              <w:rPr>
                <w:b/>
                <w:bCs/>
              </w:rPr>
              <w:t xml:space="preserve">Example 15 (Hazard versus risk in a cohort)</w:t>
            </w:r>
            <w:r>
              <w:t xml:space="preserve"> </w:t>
            </w:r>
            <w:r>
              <w:t xml:space="preserve">Suppose 1000 people are followed for four years with no censoring,</w:t>
            </w:r>
            <w:r>
              <w:t xml:space="preserve"> </w:t>
            </w:r>
            <w:r>
              <w:t xml:space="preserve">and 100, 50, 40, and 60 of them have the event in years 1 through 4.</w:t>
            </w:r>
            <w:r>
              <w:t xml:space="preserve"> </w:t>
            </w:r>
            <w:r>
              <w:t xml:space="preserve">The hazard divides each year’s events by the number still event-free at the start of that year;</w:t>
            </w:r>
            <w:r>
              <w:t xml:space="preserve"> </w:t>
            </w:r>
            <w:r>
              <w:t xml:space="preserve">the risk divides the running total of events by the 1000 people at baseline: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Year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Event-free at start of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Total events by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50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40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850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60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810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0.25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hazard falls and then rises,</w:t>
            </w:r>
            <w:r>
              <w:t xml:space="preserve"> </w:t>
            </w:r>
            <w:r>
              <w:t xml:space="preserve">while the risk increases every year.</w:t>
            </w:r>
          </w:p>
          <w:bookmarkEnd w:id="152"/>
          <w:p/>
        </w:tc>
      </w:tr>
    </w:tbl>
    <w:p>
      <w:pPr>
        <w:pStyle w:val="BodyText"/>
      </w:pPr>
      <w:r>
        <w:t xml:space="preserve">While anyone is still event-free,</w:t>
      </w:r>
      <w:r>
        <w:t xml:space="preserve"> </w:t>
      </w:r>
      <w:r>
        <w:t xml:space="preserve">the risk can be recovered from the hazards,</w:t>
      </w:r>
      <w:r>
        <w:t xml:space="preserve"> </w:t>
      </w:r>
      <w:r>
        <w:t xml:space="preserve">and</w:t>
      </w:r>
      <w:r>
        <w:t xml:space="preserve"> </w:t>
      </w:r>
      <w:hyperlink w:anchor="thm-risk-from-haz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shows why it can never decrease.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thm-risk-from-haz"/>
          <w:p>
            <w:pPr>
              <w:pStyle w:val="BodyText"/>
            </w:pPr>
            <w:r>
              <w:rPr>
                <w:b/>
                <w:bCs/>
              </w:rPr>
              <w:t xml:space="preserve">Theorem 9 (Risk in terms of discrete-time hazards)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discrete-risk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53" w:name="eq-risk-from-haz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>
            <w:pPr>
              <w:pStyle w:val="FirstParagraph"/>
            </w:pPr>
            <w:r>
              <w:t xml:space="preserve">Since each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product can only shrink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never decreases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the definition of conditional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takes integer values,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by the subset property,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</w:t>
            </w:r>
            <w:r>
              <w:t xml:space="preserve"> </w:t>
            </w:r>
            <w:r>
              <w:t xml:space="preserve">and conditioning on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is allowed.</w:t>
            </w:r>
            <w:r>
              <w:t xml:space="preserve"> </w:t>
            </w:r>
            <w:r>
              <w:t xml:space="preserve">For each such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surv-recursion-haz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is integer-valued)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rule, given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Applying</w:t>
            </w:r>
            <w:r>
              <w:t xml:space="preserve"> </w:t>
            </w:r>
            <w:hyperlink w:anchor="eq-surv-recursion-haz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using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7" w:name="eq-risk-from-haz-proof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identity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exm-risk-from-haz"/>
          <w:p>
            <w:pPr>
              <w:pStyle w:val="BodyText"/>
            </w:pPr>
            <w:r>
              <w:rPr>
                <w:b/>
                <w:bCs/>
              </w:rPr>
              <w:t xml:space="preserve">Example 16 (Recovering the risk from the hazards)</w:t>
            </w:r>
            <w:r>
              <w:t xml:space="preserve"> </w:t>
            </w:r>
            <w:r>
              <w:t xml:space="preserve">Using the hazards from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hyperlink w:anchor="thm-risk-from-haz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gives the four-year risk:</w:t>
            </w:r>
          </w:p>
          <w:p>
            <w:pPr>
              <w:pStyle w:val="BodyText"/>
            </w:pPr>
            <w:bookmarkStart w:id="158" w:name="eq-risk-from-haz-example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50</m:t>
                            </m:r>
                          </m:num>
                          <m:den>
                            <m:r>
                              <m:t>900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40</m:t>
                            </m:r>
                          </m:num>
                          <m:den>
                            <m:r>
                              <m:t>850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60</m:t>
                            </m:r>
                          </m:num>
                          <m:den>
                            <m:r>
                              <m:t>810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900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850</m:t>
                        </m:r>
                      </m:num>
                      <m:den>
                        <m:r>
                          <m:t>900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810</m:t>
                        </m:r>
                      </m:num>
                      <m:den>
                        <m:r>
                          <m:t>850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810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each hazard from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telescoping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8"/>
          </w:p>
          <w:p>
            <w:pPr>
              <w:pStyle w:val="FirstParagraph"/>
            </w:pPr>
            <w:r>
              <w:t xml:space="preserve">which matches the 250 events out of 1000 people in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.</w:t>
            </w:r>
          </w:p>
          <w:bookmarkEnd w:id="159"/>
          <w:p/>
        </w:tc>
      </w:tr>
    </w:tbl>
    <w:bookmarkEnd w:id="160"/>
    <w:bookmarkStart w:id="170" w:name="sec-likelihood-with-censoring"/>
    <w:p>
      <w:pPr>
        <w:pStyle w:val="Heading2"/>
      </w:pPr>
      <w:r>
        <w:t xml:space="preserve">4.9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that observation is just its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14 (Non-informative censoring)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the event time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the censoring time for a participant,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non-informative</w:t>
            </w:r>
            <w:r>
              <w:t xml:space="preserve"> </w:t>
            </w:r>
            <w:r>
              <w:t xml:space="preserve">if both of these conditions hold: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share no parameters,</w:t>
            </w:r>
            <w:r>
              <w:t xml:space="preserve"> </w:t>
            </w:r>
            <w:r>
              <w:t xml:space="preserve">so that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(Klein and Moeschberger 2003, chap. 3)</w:t>
            </w:r>
          </w:p>
          <w:bookmarkEnd w:id="163"/>
        </w:tc>
      </w:tr>
    </w:tbl>
    <w:p>
      <w:pPr>
        <w:pStyle w:val="BodyText"/>
      </w:pPr>
      <w:r>
        <w:t xml:space="preserve">Terminology varies across textbooks:</w:t>
      </w:r>
      <w:r>
        <w:t xml:space="preserve"> </w:t>
      </w:r>
      <w:r>
        <w:t xml:space="preserve">some authors call condition 1</w:t>
      </w:r>
      <w:r>
        <w:t xml:space="preserve"> </w:t>
      </w:r>
      <w:r>
        <w:rPr>
          <w:i/>
          <w:iCs/>
        </w:rPr>
        <w:t xml:space="preserve">independent censoring</w:t>
      </w:r>
      <w:r>
        <w:t xml:space="preserve"> </w:t>
      </w:r>
      <w:r>
        <w:t xml:space="preserve">and reserve</w:t>
      </w:r>
      <w:r>
        <w:t xml:space="preserve"> </w:t>
      </w:r>
      <w:r>
        <w:rPr>
          <w:i/>
          <w:iCs/>
        </w:rPr>
        <w:t xml:space="preserve">non-informative censoring</w:t>
      </w:r>
      <w:r>
        <w:t xml:space="preserve"> </w:t>
      </w:r>
      <w:r>
        <w:t xml:space="preserve">for condition 2</w:t>
      </w:r>
      <w:r>
        <w:t xml:space="preserve"> </w:t>
      </w:r>
      <w:r>
        <w:t xml:space="preserve">(Kleinbaum and Klein 2012, chap. 1)</w:t>
      </w:r>
      <w:r>
        <w:t xml:space="preserve">.</w:t>
      </w:r>
      <w:r>
        <w:t xml:space="preserve"> </w:t>
      </w:r>
      <w:r>
        <w:t xml:space="preserve">In this chapter,</w:t>
      </w:r>
      <w:r>
        <w:t xml:space="preserve"> </w:t>
      </w:r>
      <w:r>
        <w:t xml:space="preserve">“non-informative censoring”</w:t>
      </w:r>
      <w:r>
        <w:t xml:space="preserve"> </w:t>
      </w:r>
      <w:r>
        <w:t xml:space="preserve">means both conditions together,</w:t>
      </w:r>
      <w:r>
        <w:t xml:space="preserve"> </w:t>
      </w:r>
      <w:r>
        <w:t xml:space="preserve">since the likelihood factorization in this section uses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17 (Administrative censoring)</w:t>
            </w:r>
            <w:r>
              <w:t xml:space="preserve"> </w:t>
            </w:r>
            <w:r>
              <w:t xml:space="preserve">A trial enrolls patients at a steady rate over two years</w:t>
            </w:r>
            <w:r>
              <w:t xml:space="preserve"> </w:t>
            </w:r>
            <w:r>
              <w:t xml:space="preserve">and ends four years after the first enrollment,</w:t>
            </w:r>
            <w:r>
              <w:t xml:space="preserve"> </w:t>
            </w:r>
            <w:r>
              <w:t xml:space="preserve">so each patient’s censoring time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time from their enrollment to the end of the study,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Enrollment dates are set by the recruitment calendar, not by patients’ prognoses,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censoring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unrelated to the event-time parameters,</w:t>
            </w:r>
            <w:r>
              <w:t xml:space="preserve"> </w:t>
            </w:r>
            <w:r>
              <w:t xml:space="preserve">so censoring is non-informative (</w:t>
            </w:r>
            <w:hyperlink w:anchor="def-noninformative-censoring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a patient enrolled 3 years before the end of the study is still event-free at the end,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patient’s likelihood contribution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 of 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function, uniform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0.2744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factor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does not involve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does not affect which value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maximizes the likelihood.</w:t>
            </w:r>
          </w:p>
          <w:bookmarkEnd w:id="16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5" w:name="exm-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18 (Informative censoring (counterexample))</w:t>
            </w:r>
            <w:r>
              <w:t xml:space="preserve"> </w:t>
            </w:r>
            <w:r>
              <w:t xml:space="preserve">Suppose half of a cohort is frail, with event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year,</w:t>
            </w:r>
            <w:r>
              <w:t xml:space="preserve"> </w:t>
            </w:r>
            <w:r>
              <w:t xml:space="preserve">and half is robust, with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Frail patients become too sick to attend follow-up visits</w:t>
            </w:r>
            <w:r>
              <w:t xml:space="preserve"> </w:t>
            </w:r>
            <w:r>
              <w:t xml:space="preserve">and drop out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years,</w:t>
            </w:r>
            <w:r>
              <w:t xml:space="preserve"> </w:t>
            </w:r>
            <w:r>
              <w:t xml:space="preserve">while robust patients stay in the study until it ends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dependent and censoring is informative.</w:t>
            </w:r>
          </w:p>
          <w:p>
            <w:pPr>
              <w:pStyle w:val="BodyText"/>
            </w:pPr>
            <w:r>
              <w:t xml:space="preserve">The true probability of surviving past 2 years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Everyone still under observation just after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years is robust,</w:t>
            </w:r>
            <w:r>
              <w:t xml:space="preserve"> </w:t>
            </w:r>
            <w:r>
              <w:t xml:space="preserve">so if we treated the dropouts as representative of the patients still under observation,</w:t>
            </w:r>
            <w:r>
              <w:t xml:space="preserve"> </w:t>
            </w:r>
            <w:r>
              <w:t xml:space="preserve">as independence would justify,</w:t>
            </w:r>
            <w:r>
              <w:t xml:space="preserve"> </w:t>
            </w:r>
            <w:r>
              <w:t xml:space="preserve">we would compute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rule; 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events before 0.5; treat dropouts as representative)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(all observed patients past 0.5 are robust)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overstates the true value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.</w:t>
            </w:r>
          </w:p>
          <w:bookmarkEnd w:id="165"/>
          <w:p/>
        </w:tc>
      </w:tr>
    </w:tbl>
    <w:p>
      <w:pPr>
        <w:pStyle w:val="BodyText"/>
      </w:pPr>
      <w:r>
        <w:t xml:space="preserve">Typically, survival analyses assume that censoring is non-informative</w:t>
      </w:r>
      <w:r>
        <w:t xml:space="preserve"> </w:t>
      </w:r>
      <w:r>
        <w:t xml:space="preserve">(</w:t>
      </w:r>
      <w:hyperlink w:anchor="def-noninformative-censoring">
        <w:r>
          <w:rPr>
            <w:rStyle w:val="Hyperlink"/>
          </w:rPr>
          <w:t xml:space="preserve">Definition 14</w:t>
        </w:r>
      </w:hyperlink>
      <w:r>
        <w:t xml:space="preserve">);</w:t>
      </w:r>
      <w:r>
        <w:t xml:space="preserve"> </w:t>
      </w:r>
      <w:r>
        <w:t xml:space="preserve">in particular,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</w:t>
      </w:r>
      <w:r>
        <w:t xml:space="preserve"> </w:t>
      </w:r>
      <w:hyperlink r:id="rId169">
        <w:r>
          <w:rPr>
            <w:rStyle w:val="Hyperlink"/>
          </w:rPr>
          <w:t xml:space="preserve">partial derivative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</w:t>
      </w:r>
      <w:r>
        <w:t xml:space="preserve"> </w:t>
      </w:r>
      <w:hyperlink r:id="rId1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70"/>
    <w:bookmarkEnd w:id="171"/>
    <w:bookmarkStart w:id="197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94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9"/>
        </w:numPr>
      </w:pPr>
      <w:r>
        <w:t xml:space="preserve">The distribution has a constant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72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72"/>
    <w:bookmarkStart w:id="189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7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88"/>
          <w:p/>
        </w:tc>
      </w:tr>
    </w:tbl>
    <w:p>
      <w:r>
        <w:pict>
          <v:rect style="width:0;height:1.5pt" o:hralign="center" o:hrstd="t" o:hr="t"/>
        </w:pict>
      </w:r>
    </w:p>
    <w:bookmarkEnd w:id="189"/>
    <w:bookmarkStart w:id="192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10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hyperlink w:anchor="def-right-censor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10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10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90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0"/>
          </w:p>
          <w:bookmarkEnd w:id="1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92"/>
    <w:bookmarkStart w:id="193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6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1"/>
        </w:numPr>
      </w:pPr>
      <w:r>
        <w:t xml:space="preserve">Any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1"/>
        </w:numPr>
      </w:pPr>
      <w:r>
        <w:t xml:space="preserve">The most frequently used generalization of the exponential is the</w:t>
      </w:r>
      <w:r>
        <w:t xml:space="preserve"> </w:t>
      </w:r>
      <w:hyperlink r:id="rId195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1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96"/>
    <w:bookmarkEnd w:id="197"/>
    <w:bookmarkStart w:id="208" w:name="nonparametric-survival-analysis"/>
    <w:p>
      <w:pPr>
        <w:pStyle w:val="Heading1"/>
      </w:pPr>
      <w:r>
        <w:t xml:space="preserve">6. Nonparametric Survival Analysis</w:t>
      </w:r>
    </w:p>
    <w:bookmarkStart w:id="20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2"/>
        </w:numPr>
      </w:pPr>
      <w:r>
        <w:t xml:space="preserve">Mostly, we work without a parametric model.</w:t>
      </w:r>
    </w:p>
    <w:p>
      <w:pPr>
        <w:numPr>
          <w:ilvl w:val="0"/>
          <w:numId w:val="1012"/>
        </w:numPr>
      </w:pPr>
      <w:r>
        <w:t xml:space="preserve">The first task is to estimate a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2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19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98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98"/>
          <w:bookmarkStart w:id="200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99"/>
              </w:tc>
            </w:tr>
          </w:tbl>
          <w:bookmarkEnd w:id="200"/>
          <w:bookmarkStart w:id="201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201"/>
          <w:bookmarkStart w:id="20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2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202"/>
              </w:tc>
            </w:tr>
          </w:tbl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are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down in the 6-MP group.</w:t>
            </w:r>
            <w:r>
              <w:t xml:space="preserve"> </w:t>
            </w:r>
            <w:r>
              <w:t xml:space="preserve">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204"/>
          <w:bookmarkStart w:id="20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, assuming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placebo group, the estimated hazard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205"/>
          <w:bookmarkEnd w:id="206"/>
          <w:p/>
        </w:tc>
      </w:tr>
    </w:tbl>
    <w:bookmarkEnd w:id="207"/>
    <w:bookmarkEnd w:id="208"/>
    <w:bookmarkStart w:id="27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</w:t>
      </w:r>
      <w:r>
        <w:t xml:space="preserve"> </w:t>
      </w:r>
      <w:hyperlink w:anchor="def-interval-fail-prob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lem-cond-surv-ratio">
        <w:r>
          <w:rPr>
            <w:rStyle w:val="Hyperlink"/>
          </w:rPr>
          <w:t xml:space="preserve">a lemma</w:t>
        </w:r>
      </w:hyperlink>
      <w:r>
        <w:t xml:space="preserve"> </w:t>
      </w:r>
      <w:r>
        <w:t xml:space="preserve">expressing a conditional survival probability as a ratio of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w:bookmarkStart w:id="21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bookmarkEnd w:id="2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20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2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21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3"/>
          <w:p/>
        </w:tc>
      </w:tr>
    </w:tbl>
    <w:bookmarkStart w:id="224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16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2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11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216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6"/>
          </w:p>
          <w:bookmarkEnd w:id="2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matches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13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3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22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8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218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2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2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222"/>
              </w:tc>
            </w:tr>
          </w:tbl>
          <w:bookmarkEnd w:id="223"/>
          <w:p/>
        </w:tc>
      </w:tr>
    </w:tbl>
    <w:bookmarkEnd w:id="224"/>
    <w:bookmarkStart w:id="252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20"/>
        </w:numPr>
      </w:pPr>
      <w:r>
        <w:t xml:space="preserve">For the 6-MP patients, we cannot ignore the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20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20"/>
        </w:numPr>
      </w:pPr>
      <w:r>
        <w:t xml:space="preserve">The procedure we usually use is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product-limit</w:t>
        </w:r>
      </w:hyperlink>
      <w:r>
        <w:t xml:space="preserve"> </w:t>
      </w:r>
      <w:r>
        <w:t xml:space="preserve">estimator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.</w:t>
      </w:r>
    </w:p>
    <w:p>
      <w:pPr>
        <w:numPr>
          <w:ilvl w:val="0"/>
          <w:numId w:val="1020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20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</w:t>
      </w:r>
      <w:r>
        <w:t xml:space="preserve"> </w:t>
      </w:r>
      <w:hyperlink w:anchor="def-risk-set">
        <w:r>
          <w:rPr>
            <w:rStyle w:val="Hyperlink"/>
          </w:rPr>
          <w:t xml:space="preserve">at-risk set</w:t>
        </w:r>
      </w:hyperlink>
      <w:r>
        <w:t xml:space="preserve">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 </w:t>
            </w:r>
            <w:r>
              <w:t xml:space="preserve">show the number at risk at each marked time.</w:t>
            </w:r>
          </w:p>
          <w:bookmarkEnd w:id="22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17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23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2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18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2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24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2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19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of individuals at risk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</w:t>
      </w:r>
      <w:r>
        <w:t xml:space="preserve"> </w:t>
      </w:r>
      <w:hyperlink r:id="rId15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12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12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5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235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2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8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</w:t>
              </w:r>
            </w:hyperlink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7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update from the previous row's estimate,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instead of re-multiplying every factor so far: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km_prev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if_else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(km_prev),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km_factor_math,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(km_prev,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, km_factor_math)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km_prev)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eskmf{y}$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32"/>
                    <w:gridCol w:w="498"/>
                    <w:gridCol w:w="498"/>
                    <w:gridCol w:w="498"/>
                    <w:gridCol w:w="498"/>
                    <w:gridCol w:w="498"/>
                    <w:gridCol w:w="609"/>
                    <w:gridCol w:w="1384"/>
                    <w:gridCol w:w="1384"/>
                    <w:gridCol w:w="171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0.8889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0.7778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0.6667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0.5556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0.5556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0.4167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237"/>
                <w:p/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9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2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24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8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9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2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25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1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13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251"/>
        </w:tc>
      </w:tr>
    </w:tbl>
    <w:bookmarkEnd w:id="252"/>
    <w:bookmarkStart w:id="26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</w:t>
      </w:r>
      <w:r>
        <w:t xml:space="preserve"> </w:t>
      </w:r>
      <w:hyperlink r:id="rId1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4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14 (Greenwood’s estimator for variance of Kaplan-Meier survival estimator)</w:t>
            </w:r>
          </w:p>
          <w:p>
            <w:pPr>
              <w:pStyle w:val="BodyText"/>
            </w:pPr>
            <w:bookmarkStart w:id="253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3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254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for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 a survival</w:t>
      </w:r>
      <w:r>
        <w:t xml:space="preserve"> </w:t>
      </w:r>
      <w:r>
        <w:t xml:space="preserve">function or a difference of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.</w:t>
      </w:r>
    </w:p>
    <w:bookmarkStart w:id="26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</w:t>
      </w:r>
      <w:r>
        <w:t xml:space="preserve"> </w:t>
      </w:r>
      <w:hyperlink r:id="rId178">
        <w:r>
          <w:rPr>
            <w:rStyle w:val="Hyperlink"/>
          </w:rPr>
          <w:t xml:space="preserve">binomials</w:t>
        </w:r>
      </w:hyperlink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25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2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259"/>
              </w:tc>
            </w:tr>
          </w:tbl>
          <w:bookmarkEnd w:id="260"/>
          <w:p/>
        </w:tc>
      </w:tr>
    </w:tbl>
    <w:bookmarkEnd w:id="261"/>
    <w:bookmarkEnd w:id="262"/>
    <w:bookmarkStart w:id="27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7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</w:t>
      </w:r>
      <w:r>
        <w:t xml:space="preserve"> </w:t>
      </w:r>
      <w:hyperlink w:anchor="def-number-at-risk">
        <w:r>
          <w:rPr>
            <w:rStyle w:val="Hyperlink"/>
          </w:rPr>
          <w:t xml:space="preserve">at risk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KM-estimator">
        <w:r>
          <w:rPr>
            <w:rStyle w:val="Hyperlink"/>
          </w:rPr>
          <w:t xml:space="preserve">Kaplan Meier estimate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2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2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76"/>
          <w:p/>
        </w:tc>
      </w:tr>
    </w:tbl>
    <w:bookmarkEnd w:id="277"/>
    <w:bookmarkEnd w:id="278"/>
    <w:bookmarkEnd w:id="279"/>
    <w:bookmarkStart w:id="317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8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8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26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</w:t>
            </w:r>
            <w:r>
              <w:t xml:space="preserve"> </w:t>
            </w:r>
            <w:hyperlink w:anchor="def-right-censor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 </w:t>
            </w:r>
            <w:r>
              <w:t xml:space="preserve">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81"/>
          <w:p/>
        </w:tc>
      </w:tr>
    </w:tbl>
    <w:bookmarkEnd w:id="282"/>
    <w:bookmarkStart w:id="28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urv-fn">
        <w:r>
          <w:rPr>
            <w:rStyle w:val="Hyperlink"/>
          </w:rPr>
          <w:t xml:space="preserve">survival curve</w:t>
        </w:r>
      </w:hyperlink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27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85"/>
          <w:p/>
        </w:tc>
      </w:tr>
    </w:tbl>
    <w:bookmarkEnd w:id="286"/>
    <w:bookmarkStart w:id="29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8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9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</w:t>
      </w:r>
      <w:r>
        <w:t xml:space="preserve"> </w:t>
      </w:r>
      <w:hyperlink r:id="rId89">
        <w:r>
          <w:rPr>
            <w:rStyle w:val="Hyperlink"/>
          </w:rPr>
          <w:t xml:space="preserve">quantiles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90"/>
    <w:bookmarkEnd w:id="291"/>
    <w:bookmarkStart w:id="316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304" w:name="visualization-packages"/>
    <w:p>
      <w:pPr>
        <w:pStyle w:val="Heading3"/>
      </w:pPr>
      <w:r>
        <w:t xml:space="preserve">8.4.1 Visualization Packages</w:t>
      </w:r>
    </w:p>
    <w:bookmarkStart w:id="297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9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5"/>
        </w:numPr>
      </w:pPr>
      <w:r>
        <w:t xml:space="preserve">Developed by</w:t>
      </w:r>
      <w:r>
        <w:t xml:space="preserve"> </w:t>
      </w:r>
      <w:hyperlink r:id="rId29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5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5"/>
        </w:numPr>
      </w:pPr>
      <w:r>
        <w:t xml:space="preserve">Key features:</w:t>
      </w:r>
    </w:p>
    <w:p>
      <w:pPr>
        <w:pStyle w:val="Compact"/>
        <w:numPr>
          <w:ilvl w:val="1"/>
          <w:numId w:val="1026"/>
        </w:numPr>
      </w:pPr>
      <w:r>
        <w:t xml:space="preserve">Create</w:t>
      </w:r>
      <w:r>
        <w:t xml:space="preserve"> </w:t>
      </w:r>
      <w:hyperlink w:anchor="def-KM-estimator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6"/>
        </w:numPr>
      </w:pPr>
      <w:r>
        <w:t xml:space="preserve">Add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6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6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6"/>
        </w:numPr>
      </w:pPr>
      <w:r>
        <w:t xml:space="preserve">Support for</w:t>
      </w:r>
      <w:r>
        <w:t xml:space="preserve"> </w:t>
      </w:r>
      <w:hyperlink r:id="rId294">
        <w:r>
          <w:rPr>
            <w:rStyle w:val="Hyperlink"/>
          </w:rPr>
          <w:t xml:space="preserve">competing risks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5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5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5"/>
        </w:numPr>
      </w:pPr>
      <w:r>
        <w:t xml:space="preserve">Available on</w:t>
      </w:r>
      <w:r>
        <w:t xml:space="preserve"> </w:t>
      </w:r>
      <w:hyperlink r:id="rId295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96">
        <w:r>
          <w:rPr>
            <w:rStyle w:val="Hyperlink"/>
          </w:rPr>
          <w:t xml:space="preserve">GitHub</w:t>
        </w:r>
      </w:hyperlink>
    </w:p>
    <w:bookmarkEnd w:id="297"/>
    <w:bookmarkStart w:id="301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98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7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7"/>
        </w:numPr>
      </w:pPr>
      <w:r>
        <w:t xml:space="preserve">Provides functions for visualizing</w:t>
      </w:r>
      <w:r>
        <w:t xml:space="preserve"> </w:t>
      </w:r>
      <w:hyperlink r:id="rId299">
        <w:r>
          <w:rPr>
            <w:rStyle w:val="Hyperlink"/>
          </w:rPr>
          <w:t xml:space="preserve">Cox model</w:t>
        </w:r>
      </w:hyperlink>
      <w:r>
        <w:t xml:space="preserve"> </w:t>
      </w:r>
      <w:r>
        <w:t xml:space="preserve">results</w:t>
      </w:r>
    </w:p>
    <w:p>
      <w:pPr>
        <w:pStyle w:val="Compact"/>
        <w:numPr>
          <w:ilvl w:val="0"/>
          <w:numId w:val="1027"/>
        </w:numPr>
      </w:pPr>
      <w:r>
        <w:t xml:space="preserve">Includes tools for testing</w:t>
      </w:r>
      <w:r>
        <w:t xml:space="preserve"> </w:t>
      </w:r>
      <w:hyperlink r:id="rId300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assumptions</w:t>
      </w:r>
    </w:p>
    <w:p>
      <w:pPr>
        <w:pStyle w:val="Compact"/>
        <w:numPr>
          <w:ilvl w:val="0"/>
          <w:numId w:val="1027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7"/>
        </w:numPr>
      </w:pPr>
      <w:r>
        <w:t xml:space="preserve">Can display risk tables, cumulative events, and censoring counts</w:t>
      </w:r>
    </w:p>
    <w:bookmarkEnd w:id="301"/>
    <w:bookmarkStart w:id="303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302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8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27</w:t>
        </w:r>
      </w:hyperlink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8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8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8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8"/>
        </w:numPr>
      </w:pPr>
      <w:r>
        <w:t xml:space="preserve">Also supports many other statistical objects beyond survival analysis</w:t>
      </w:r>
    </w:p>
    <w:bookmarkEnd w:id="303"/>
    <w:bookmarkEnd w:id="304"/>
    <w:bookmarkStart w:id="314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9"/>
        </w:numPr>
      </w:pPr>
      <w:hyperlink r:id="rId305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9"/>
        </w:numPr>
      </w:pPr>
      <w:hyperlink r:id="rId306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9"/>
        </w:numPr>
      </w:pPr>
      <w:hyperlink r:id="rId307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9"/>
        </w:numPr>
      </w:pPr>
      <w:hyperlink r:id="rId308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9"/>
        </w:numPr>
      </w:pPr>
      <w:hyperlink r:id="rId309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9"/>
        </w:numPr>
      </w:pPr>
      <w:hyperlink r:id="rId310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9"/>
        </w:numPr>
      </w:pPr>
      <w:hyperlink r:id="rId311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9"/>
        </w:numPr>
      </w:pPr>
      <w:hyperlink r:id="rId312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9"/>
        </w:numPr>
      </w:pPr>
      <w:hyperlink r:id="rId313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314"/>
    <w:bookmarkStart w:id="315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30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30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8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315"/>
    <w:bookmarkEnd w:id="316"/>
    <w:bookmarkEnd w:id="317"/>
    <w:bookmarkStart w:id="369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9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3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0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those groups.</w:t>
            </w:r>
          </w:p>
          <w:bookmarkEnd w:id="320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2"/>
        </w:numPr>
      </w:pPr>
      <w:r>
        <w:t xml:space="preserve">The log-rank test is a large-sample</w:t>
      </w:r>
      <w:r>
        <w:t xml:space="preserve"> </w:t>
      </w:r>
      <w:hyperlink r:id="rId321">
        <w:r>
          <w:rPr>
            <w:rStyle w:val="Hyperlink"/>
          </w:rPr>
          <w:t xml:space="preserve">chi-square</w:t>
        </w:r>
      </w:hyperlink>
      <w:r>
        <w:t xml:space="preserve"> </w:t>
      </w:r>
      <w:r>
        <w:t xml:space="preserve">test.</w:t>
      </w:r>
    </w:p>
    <w:p>
      <w:pPr>
        <w:numPr>
          <w:ilvl w:val="0"/>
          <w:numId w:val="1032"/>
        </w:numPr>
      </w:pPr>
      <w:r>
        <w:t xml:space="preserve">The log-rank test uses a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2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2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323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3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323"/>
    <w:bookmarkStart w:id="325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324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2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5"/>
    <w:bookmarkStart w:id="332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8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15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326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estimate is</w:t>
            </w:r>
          </w:p>
          <w:p>
            <w:pPr>
              <w:pStyle w:val="BodyText"/>
            </w:pPr>
            <w:bookmarkStart w:id="327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7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328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9" w:name="def-logrank-test"/>
          <w:p>
            <w:pPr>
              <w:pStyle w:val="BodyText"/>
            </w:pPr>
            <w:r>
              <w:rPr>
                <w:b/>
                <w:bCs/>
              </w:rPr>
              <w:t xml:space="preserve">Definition 20 (Log-rank test (Mantel-Cox test))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Mantel-Cox test</w:t>
            </w:r>
            <w:r>
              <w:t xml:space="preserve">) for two groups</w:t>
            </w:r>
            <w:r>
              <w:t xml:space="preserve"> </w:t>
            </w:r>
            <w:r>
              <w:t xml:space="preserve">is the hypothesis test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nor/>
                    <m:sty m:val="p"/>
                  </m:rPr>
                  <m:t> for all 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survival function of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case of the null hypothesis in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that uses the log-rank statistic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test statistic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 (</w:t>
            </w:r>
            <w:hyperlink w:anchor="thm-logrank-two-group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large-sample reference distribution.</w:t>
            </w:r>
            <w:r>
              <w:t xml:space="preserve"> </w:t>
            </w:r>
            <w:r>
              <w:t xml:space="preserve">Its p-value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∼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at significance level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the test rejects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exceeds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(Kleinbaum and Klein 2012, chap. 2; Klein and Moeschberger 2003, chap. 7)</w:t>
            </w:r>
          </w:p>
          <w:bookmarkEnd w:id="3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1" w:name="exm-logrank-test"/>
          <w:p>
            <w:pPr>
              <w:pStyle w:val="BodyText"/>
            </w:pPr>
            <w:r>
              <w:rPr>
                <w:b/>
                <w:bCs/>
              </w:rPr>
              <w:t xml:space="preserve">Example 28 (A log-rank test by hand)</w:t>
            </w:r>
            <w:r>
              <w:t xml:space="preserve"> </w:t>
            </w:r>
            <w:r>
              <w:t xml:space="preserve">Group 1 has two participants, with events at times 1 and 2.</w:t>
            </w:r>
            <w:r>
              <w:t xml:space="preserve"> </w:t>
            </w:r>
            <w:r>
              <w:t xml:space="preserve">Group 2 has two participants, one with an event at time 3</w:t>
            </w:r>
            <w:r>
              <w:t xml:space="preserve"> </w:t>
            </w:r>
            <w:r>
              <w:t xml:space="preserve">and one censored at time 4.</w:t>
            </w:r>
            <w:r>
              <w:t xml:space="preserve"> </w:t>
            </w:r>
            <w:r>
              <w:t xml:space="preserve">The distinct failure times in the pooled data are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the counts (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bl-logrank-hand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30" w:name="tbl-logrank-han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Risk-set and failure counts for the hand-computed</w:t>
                  </w:r>
                  <w:r>
                    <w:t xml:space="preserve"> </w:t>
                  </w:r>
                  <w:hyperlink w:anchor="def-logrank-test">
                    <w:r>
                      <w:rPr>
                        <w:rStyle w:val="Hyperlink"/>
                      </w:rPr>
                      <w:t xml:space="preserve">log-rank test</w:t>
                    </w:r>
                  </w:hyperlink>
                  <w:r>
                    <w:t xml:space="preserve">.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131"/>
                    <w:gridCol w:w="1131"/>
                    <w:gridCol w:w="1131"/>
                    <w:gridCol w:w="1131"/>
                    <w:gridCol w:w="1131"/>
                    <w:gridCol w:w="1131"/>
                    <w:gridCol w:w="11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i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330"/>
                <w:p/>
              </w:tc>
            </w:tr>
          </w:tbl>
          <w:p>
            <w:pPr>
              <w:pStyle w:val="BodyText"/>
            </w:pPr>
            <w:r>
              <w:t xml:space="preserve">Using group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observed count is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expected count (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 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@eq-logrank-expected over failure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variance estimate (</w:t>
            </w:r>
            <w:hyperlink w:anchor="eq-logrank-var-2grp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2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(@eq-logrank-var-2grp)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(reduce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36)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log-rank statistic 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(@eq-logrank-stat-2grp)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6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17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common factor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t>0.95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approximately</w:t>
            </w:r>
            <w:r>
              <w:t xml:space="preserve"> </w:t>
            </w:r>
            <m:oMath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2.88</m:t>
              </m:r>
              <m:r>
                <m:rPr>
                  <m:sty m:val="p"/>
                </m:rPr>
                <m:t>&lt;</m:t>
              </m:r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log-rank test (</w:t>
            </w:r>
            <w:hyperlink w:anchor="def-logrank-test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does not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(the p-value is approximately</w:t>
            </w:r>
            <w:r>
              <w:t xml:space="preserve"> </w:t>
            </w:r>
            <m:oMath>
              <m:r>
                <m:t>0.09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only four participants, the large-sample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approximation is rough;</w:t>
            </w:r>
            <w:r>
              <w:t xml:space="preserve"> </w:t>
            </w:r>
            <w:r>
              <w:t xml:space="preserve">this example only illustrates the arithmetic.</w:t>
            </w:r>
          </w:p>
          <w:bookmarkEnd w:id="331"/>
          <w:p/>
        </w:tc>
      </w:tr>
    </w:tbl>
    <w:bookmarkEnd w:id="332"/>
    <w:bookmarkStart w:id="335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</w:t>
      </w:r>
      <w:r>
        <w:t xml:space="preserve"> </w:t>
      </w:r>
      <w:hyperlink r:id="rId333">
        <w:r>
          <w:rPr>
            <w:rStyle w:val="Hyperlink"/>
          </w:rPr>
          <w:t xml:space="preserve">variance–covariance</w:t>
        </w:r>
      </w:hyperlink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</w:t>
      </w:r>
      <w:r>
        <w:t xml:space="preserve"> </w:t>
      </w:r>
      <w:hyperlink r:id="rId334">
        <w:r>
          <w:rPr>
            <w:rStyle w:val="Hyperlink"/>
          </w:rPr>
          <w:t xml:space="preserve">linearly dependent</w:t>
        </w:r>
      </w:hyperlink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335"/>
    <w:bookmarkStart w:id="336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336"/>
    <w:bookmarkStart w:id="368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4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29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curve</w:t>
              </w:r>
            </w:hyperlink>
            <w:r>
              <w:t xml:space="preserve"> </w:t>
            </w:r>
            <w:r>
              <w:t xml:space="preserve">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</w:t>
            </w:r>
            <w:r>
              <w:t xml:space="preserve"> </w:t>
            </w:r>
            <w:hyperlink r:id="rId340">
              <w:r>
                <w:rPr>
                  <w:rStyle w:val="Hyperlink"/>
                </w:rPr>
                <w:t xml:space="preserve">t-test</w:t>
              </w:r>
            </w:hyperlink>
            <w:r>
              <w:t xml:space="preserve">, where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13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341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2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342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paired t-test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34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7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30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8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3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3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348"/>
              </w:tc>
            </w:tr>
          </w:tbl>
          <w:bookmarkStart w:id="353" w:name="study-design-1"/>
          <w:p>
            <w:pPr>
              <w:pStyle w:val="Heading5"/>
            </w:pPr>
            <w:r>
              <w:t xml:space="preserve">Study design</w:t>
            </w:r>
          </w:p>
          <w:bookmarkStart w:id="349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349"/>
          <w:bookmarkStart w:id="350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350"/>
          <w:bookmarkStart w:id="351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351"/>
          <w:bookmarkStart w:id="352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352"/>
          <w:bookmarkEnd w:id="353"/>
          <w:bookmarkStart w:id="354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354"/>
          <w:bookmarkStart w:id="355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curves and compare them.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estimate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functions</w:t>
              </w:r>
            </w:hyperlink>
            <w:r>
              <w:t xml:space="preserve">, interpret, and compare them.</w:t>
            </w:r>
          </w:p>
          <w:bookmarkEnd w:id="355"/>
          <w:bookmarkStart w:id="360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9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359"/>
              </w:tc>
            </w:tr>
          </w:tbl>
          <w:bookmarkEnd w:id="360"/>
          <w:bookmarkStart w:id="361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361"/>
          <w:bookmarkStart w:id="366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5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3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365"/>
              </w:tc>
            </w:tr>
          </w:tbl>
          <w:bookmarkEnd w:id="366"/>
          <w:bookmarkEnd w:id="367"/>
          <w:p/>
        </w:tc>
      </w:tr>
    </w:tbl>
    <w:bookmarkEnd w:id="368"/>
    <w:bookmarkEnd w:id="369"/>
    <w:bookmarkStart w:id="396" w:name="sec-nelson-aalen"/>
    <w:p>
      <w:pPr>
        <w:pStyle w:val="Heading1"/>
      </w:pPr>
      <w:r>
        <w:t xml:space="preserve">10. Nelson-Aalen Estimates of Cumulative Hazard and Survival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72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37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thm-greenwood">
              <w:r>
                <w:rPr>
                  <w:rStyle w:val="Hyperlink"/>
                </w:rPr>
                <w:t xml:space="preserve">Greenwood’s variance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4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21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3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7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16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 this</w:t>
            </w:r>
            <w:r>
              <w:t xml:space="preserve"> </w:t>
            </w:r>
            <w:hyperlink r:id="rId375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is approximately:</w:t>
            </w:r>
          </w:p>
          <w:p>
            <w:pPr>
              <w:pStyle w:val="BodyText"/>
            </w:pPr>
            <w:bookmarkStart w:id="376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6"/>
          </w:p>
          <w:bookmarkEnd w:id="3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95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79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1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8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3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2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update from the previous row's estimate,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instead of re-adding every increment so far: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cusum_prev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(cusum_hazard_round),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if_else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(cusum_prev),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hazard_math,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(cusum_prev,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, hazard_math)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cusum_prev)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esnaaf{y}$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2"/>
                    <w:gridCol w:w="393"/>
                    <w:gridCol w:w="393"/>
                    <w:gridCol w:w="393"/>
                    <w:gridCol w:w="393"/>
                    <w:gridCol w:w="393"/>
                    <w:gridCol w:w="481"/>
                    <w:gridCol w:w="1093"/>
                    <w:gridCol w:w="1443"/>
                    <w:gridCol w:w="1443"/>
                    <w:gridCol w:w="122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0.1111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0.2361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0.379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0.5456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0.5456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0.7956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82"/>
                <w:p/>
              </w:tc>
            </w:tr>
          </w:tbl>
          <w:bookmarkEnd w:id="3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4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8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5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8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8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9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39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9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3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4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94"/>
          <w:p/>
        </w:tc>
      </w:tr>
    </w:tbl>
    <w:bookmarkEnd w:id="395"/>
    <w:bookmarkEnd w:id="396"/>
    <w:bookmarkStart w:id="407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22 (Empirical inverse survival function (empirical survival quantile function))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6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31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1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4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401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5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4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405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inv-surv-fn">
              <w:r>
                <w:rPr>
                  <w:rStyle w:val="Hyperlink"/>
                </w:rPr>
                <w:t xml:space="preserve">inverse survival function</w:t>
              </w:r>
            </w:hyperlink>
            <w:r>
              <w:t xml:space="preserve"> </w:t>
            </w:r>
            <w:r>
              <w:t xml:space="preserve">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406"/>
          <w:p/>
        </w:tc>
      </w:tr>
    </w:tbl>
    <w:bookmarkEnd w:id="407"/>
    <w:bookmarkStart w:id="415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1"/>
        </w:numPr>
      </w:pPr>
      <w:r>
        <w:t xml:space="preserve">Death</w:t>
      </w:r>
    </w:p>
    <w:p>
      <w:pPr>
        <w:pStyle w:val="Compact"/>
        <w:numPr>
          <w:ilvl w:val="0"/>
          <w:numId w:val="1041"/>
        </w:numPr>
      </w:pPr>
      <w:r>
        <w:t xml:space="preserve">Hospitalization</w:t>
      </w:r>
    </w:p>
    <w:p>
      <w:pPr>
        <w:pStyle w:val="Compact"/>
        <w:numPr>
          <w:ilvl w:val="0"/>
          <w:numId w:val="1041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409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8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23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408"/>
        </w:tc>
      </w:tr>
    </w:tbl>
    <w:bookmarkEnd w:id="409"/>
    <w:bookmarkStart w:id="410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410"/>
    <w:bookmarkStart w:id="411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3"/>
        </w:numPr>
      </w:pPr>
      <w:r>
        <w:t xml:space="preserve">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4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4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4"/>
        </w:numPr>
      </w:pPr>
      <w:r>
        <w:t xml:space="preserve">Requires specialized methods beyond the scope of these notes</w:t>
      </w:r>
    </w:p>
    <w:bookmarkEnd w:id="411"/>
    <w:bookmarkStart w:id="414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</w:t>
      </w:r>
      <w:r>
        <w:t xml:space="preserve"> </w:t>
      </w:r>
      <w:hyperlink r:id="rId412">
        <w:r>
          <w:rPr>
            <w:rStyle w:val="Hyperlink"/>
          </w:rPr>
          <w:t xml:space="preserve">randomized trial</w:t>
        </w:r>
      </w:hyperlink>
      <w:r>
        <w:t xml:space="preserve"> </w:t>
      </w:r>
      <w:r>
        <w:t xml:space="preserve">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413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414"/>
    <w:bookmarkEnd w:id="415"/>
    <w:bookmarkStart w:id="432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417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32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hyperlink w:anchor="def-left-truncation">
              <w:r>
                <w:rPr>
                  <w:rStyle w:val="Hyperlink"/>
                  <w:b/>
                  <w:bCs/>
                </w:rPr>
                <w:t xml:space="preserve">left-truncation</w:t>
              </w:r>
            </w:hyperlink>
            <w:r>
              <w:t xml:space="preserve">.</w:t>
            </w:r>
          </w:p>
          <w:bookmarkEnd w:id="416"/>
          <w:p/>
        </w:tc>
      </w:tr>
    </w:tbl>
    <w:bookmarkEnd w:id="417"/>
    <w:bookmarkStart w:id="419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8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24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418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6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6"/>
        </w:numPr>
      </w:pPr>
      <w:r>
        <w:t xml:space="preserve">Entry into the study cohort (e.g., enrollment)</w:t>
      </w:r>
    </w:p>
    <w:bookmarkEnd w:id="419"/>
    <w:bookmarkStart w:id="420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8"/>
        </w:numPr>
      </w:pPr>
      <w:r>
        <w:t xml:space="preserve">Does NOT necessarily imply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</w:p>
    <w:p>
      <w:pPr>
        <w:pStyle w:val="Compact"/>
        <w:numPr>
          <w:ilvl w:val="1"/>
          <w:numId w:val="1048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9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420"/>
    <w:bookmarkStart w:id="421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50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50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421"/>
    <w:bookmarkStart w:id="422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2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2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3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3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4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422"/>
    <w:bookmarkStart w:id="423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5"/>
        </w:numPr>
      </w:pPr>
      <w:r>
        <w:t xml:space="preserve">Disease incidence and post-diagnosis survival are independent</w:t>
      </w:r>
    </w:p>
    <w:bookmarkEnd w:id="423"/>
    <w:bookmarkStart w:id="424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6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6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6"/>
        </w:numPr>
      </w:pPr>
      <m:oMath>
        <m:r>
          <m:t>δ</m:t>
        </m:r>
      </m:oMath>
      <w:r>
        <w:t xml:space="preserve">: censoring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424"/>
    <w:bookmarkStart w:id="429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7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7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8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428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that over-represents longer survivors.</w:t>
      </w:r>
    </w:p>
    <w:bookmarkEnd w:id="429"/>
    <w:bookmarkStart w:id="430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8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8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8"/>
        </w:numPr>
      </w:pPr>
      <w:hyperlink w:anchor="def-hazard-ratio">
        <w:r>
          <w:rPr>
            <w:rStyle w:val="Hyperlink"/>
          </w:rPr>
          <w:t xml:space="preserve">Hazard ratios</w:t>
        </w:r>
      </w:hyperlink>
      <w:r>
        <w:t xml:space="preserve"> </w:t>
      </w:r>
      <w:r>
        <w:t xml:space="preserve">in</w:t>
      </w:r>
      <w:r>
        <w:t xml:space="preserve"> </w:t>
      </w:r>
      <w:hyperlink r:id="rId299">
        <w:r>
          <w:rPr>
            <w:rStyle w:val="Hyperlink"/>
          </w:rPr>
          <w:t xml:space="preserve">Cox models</w:t>
        </w:r>
      </w:hyperlink>
      <w:r>
        <w:t xml:space="preserve"> </w:t>
      </w:r>
      <w:r>
        <w:t xml:space="preserve">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</w:t>
      </w:r>
      <w:r>
        <w:t xml:space="preserve"> </w:t>
      </w:r>
      <w:hyperlink r:id="rId20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using the PBC data.</w:t>
      </w:r>
      <w:r>
        <w:t xml:space="preserve"> </w:t>
      </w:r>
      <w:r>
        <w:t xml:space="preserve">The naive analysis treats all participants as entering the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430"/>
    <w:bookmarkStart w:id="431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9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9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431"/>
    <w:bookmarkEnd w:id="432"/>
    <w:bookmarkStart w:id="457" w:name="references"/>
    <w:p>
      <w:pPr>
        <w:pStyle w:val="Heading1"/>
      </w:pPr>
      <w:r>
        <w:t xml:space="preserve">References</w:t>
      </w:r>
    </w:p>
    <w:bookmarkStart w:id="456" w:name="refs"/>
    <w:bookmarkStart w:id="434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433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434"/>
    <w:bookmarkStart w:id="436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435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436"/>
    <w:bookmarkStart w:id="438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437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438"/>
    <w:bookmarkStart w:id="4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40"/>
    <w:bookmarkStart w:id="441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441"/>
    <w:bookmarkStart w:id="443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42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443"/>
    <w:bookmarkStart w:id="444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444"/>
    <w:bookmarkStart w:id="446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445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446"/>
    <w:bookmarkStart w:id="44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47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448"/>
    <w:bookmarkStart w:id="450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449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450"/>
    <w:bookmarkStart w:id="45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451"/>
    <w:bookmarkStart w:id="453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452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453"/>
    <w:bookmarkStart w:id="45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45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455"/>
    <w:bookmarkEnd w:id="456"/>
    <w:bookmarkEnd w:id="4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5" Target="media/rId345.png" /><Relationship Type="http://schemas.openxmlformats.org/officeDocument/2006/relationships/image" Id="rId21" Target="media/rId21.png" /><Relationship Type="http://schemas.openxmlformats.org/officeDocument/2006/relationships/image" Id="rId10" Target="media/rId10.png" /><Relationship Type="http://schemas.openxmlformats.org/officeDocument/2006/relationships/image" Id="rId245" Target="media/rId245.png" /><Relationship Type="http://schemas.openxmlformats.org/officeDocument/2006/relationships/image" Id="rId362" Target="media/rId362.png" /><Relationship Type="http://schemas.openxmlformats.org/officeDocument/2006/relationships/image" Id="rId141" Target="media/rId141.png" /><Relationship Type="http://schemas.openxmlformats.org/officeDocument/2006/relationships/image" Id="rId110" Target="media/rId110.png" /><Relationship Type="http://schemas.openxmlformats.org/officeDocument/2006/relationships/image" Id="rId52" Target="media/rId52.png" /><Relationship Type="http://schemas.openxmlformats.org/officeDocument/2006/relationships/image" Id="rId63" Target="media/rId63.png" /><Relationship Type="http://schemas.openxmlformats.org/officeDocument/2006/relationships/image" Id="rId59" Target="media/rId59.png" /><Relationship Type="http://schemas.openxmlformats.org/officeDocument/2006/relationships/image" Id="rId356" Target="media/rId356.png" /><Relationship Type="http://schemas.openxmlformats.org/officeDocument/2006/relationships/image" Id="rId263" Target="media/rId263.png" /><Relationship Type="http://schemas.openxmlformats.org/officeDocument/2006/relationships/image" Id="rId242" Target="media/rId242.png" /><Relationship Type="http://schemas.openxmlformats.org/officeDocument/2006/relationships/image" Id="rId387" Target="media/rId387.png" /><Relationship Type="http://schemas.openxmlformats.org/officeDocument/2006/relationships/image" Id="rId37" Target="media/rId37.png" /><Relationship Type="http://schemas.openxmlformats.org/officeDocument/2006/relationships/image" Id="rId219" Target="media/rId219.png" /><Relationship Type="http://schemas.openxmlformats.org/officeDocument/2006/relationships/image" Id="rId225" Target="media/rId225.png" /><Relationship Type="http://schemas.openxmlformats.org/officeDocument/2006/relationships/image" Id="rId256" Target="media/rId256.png" /><Relationship Type="http://schemas.openxmlformats.org/officeDocument/2006/relationships/image" Id="rId43" Target="media/rId43.png" /><Relationship Type="http://schemas.openxmlformats.org/officeDocument/2006/relationships/image" Id="rId287" Target="media/rId287.png" /><Relationship Type="http://schemas.openxmlformats.org/officeDocument/2006/relationships/image" Id="rId72" Target="media/rId72.png" /><Relationship Type="http://schemas.openxmlformats.org/officeDocument/2006/relationships/image" Id="rId337" Target="media/rId337.png" /><Relationship Type="http://schemas.openxmlformats.org/officeDocument/2006/relationships/image" Id="rId78" Target="media/rId78.png" /><Relationship Type="http://schemas.openxmlformats.org/officeDocument/2006/relationships/image" Id="rId378" Target="media/rId378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25" Target="media/rId425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49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37" Target="https://doi.org/10.1002/hep.1840100102" TargetMode="External" /><Relationship Type="http://schemas.openxmlformats.org/officeDocument/2006/relationships/hyperlink" Id="rId454" Target="https://doi.org/10.1007/978-1-4614-1353-0" TargetMode="External" /><Relationship Type="http://schemas.openxmlformats.org/officeDocument/2006/relationships/hyperlink" Id="rId433" Target="https://doi.org/10.1136/sti.2010.044990" TargetMode="External" /><Relationship Type="http://schemas.openxmlformats.org/officeDocument/2006/relationships/hyperlink" Id="rId435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52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7" Target="https://link.springer.com/book/10.1007/978-1-4419-6646-9" TargetMode="External" /><Relationship Type="http://schemas.openxmlformats.org/officeDocument/2006/relationships/hyperlink" Id="rId445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2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49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37" Target="https://doi.org/10.1002/hep.1840100102" TargetMode="External" /><Relationship Type="http://schemas.openxmlformats.org/officeDocument/2006/relationships/hyperlink" Id="rId454" Target="https://doi.org/10.1007/978-1-4614-1353-0" TargetMode="External" /><Relationship Type="http://schemas.openxmlformats.org/officeDocument/2006/relationships/hyperlink" Id="rId433" Target="https://doi.org/10.1136/sti.2010.044990" TargetMode="External" /><Relationship Type="http://schemas.openxmlformats.org/officeDocument/2006/relationships/hyperlink" Id="rId435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52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7" Target="https://link.springer.com/book/10.1007/978-1-4419-6646-9" TargetMode="External" /><Relationship Type="http://schemas.openxmlformats.org/officeDocument/2006/relationships/hyperlink" Id="rId445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2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2026-10-16T09:03:52Z</dcterms:created>
  <dcterms:modified xsi:type="dcterms:W3CDTF">2026-10-16T09:03:52Z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