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0.png" ContentType="image/png"/>
  <Override PartName="/word/media/rId169.png" ContentType="image/png"/>
  <Override PartName="/word/media/rId134.png" ContentType="image/png"/>
  <Override PartName="/word/media/rId198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20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42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(Cumulative incidence has a second meaning)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rem-cumulative-incidence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(Cumulative incidence has a second meaning). </w:t>
            </w:r>
            <w:r>
              <w:t xml:space="preserve">The name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cumulative incidence</w:t>
              </w:r>
            </w:hyperlink>
            <w:r>
              <w:t xml:space="preserve"> </w:t>
            </w:r>
            <w:r>
              <w:t xml:space="preserve">is used for the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when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is closed,</w:t>
            </w:r>
            <w:r>
              <w:t xml:space="preserve"> </w:t>
            </w:r>
            <w:r>
              <w:t xml:space="preserve">meaning that no one enters or leaves after the start of the time period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  <w:r>
              <w:t xml:space="preserve"> </w:t>
            </w:r>
            <w:r>
              <w:t xml:space="preserve">The same name is also used for a different quantity:</w:t>
            </w:r>
            <w:r>
              <w:t xml:space="preserve"> </w:t>
            </w:r>
            <w:r>
              <w:t xml:space="preserve">when several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w:r>
              <w:t xml:space="preserve">types compete,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incidence function</w:t>
              </w:r>
            </w:hyperlink>
            <w:r>
              <w:t xml:space="preserve"> </w:t>
            </w:r>
            <w:r>
              <w:t xml:space="preserve">of one event type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the probability that this type of event occurs by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[5, Ch. 22]</w:t>
            </w:r>
            <w:r>
              <w:t xml:space="preserve">.</w:t>
            </w:r>
            <w:r>
              <w:t xml:space="preserve"> </w:t>
            </w:r>
            <w:r>
              <w:t xml:space="preserve">This chapter uses the name only for the risk of a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.</w:t>
            </w:r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30"/>
                      <w:p/>
                    </w:tc>
                  </w:tr>
                </w:tbl>
              </w:tc>
            </w:tr>
          </w:tbl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8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8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9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9"/>
              </w:tc>
            </w:tr>
          </w:tbl>
          <w:bookmarkEnd w:id="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41"/>
        </w:tc>
      </w:tr>
    </w:tbl>
    <w:bookmarkEnd w:id="42"/>
    <w:bookmarkStart w:id="75" w:name="comparing-probabilities"/>
    <w:p>
      <w:pPr>
        <w:pStyle w:val="Heading2"/>
      </w:pPr>
      <w:r>
        <w:t xml:space="preserve">1.2 Comparing probabilities</w:t>
      </w:r>
    </w:p>
    <w:bookmarkStart w:id="50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8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9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50"/>
    <w:bookmarkStart w:id="58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2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52"/>
              </w:tc>
            </w:tr>
          </w:tbl>
          <w:bookmarkEnd w:id="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7"/>
          <w:p/>
        </w:tc>
      </w:tr>
    </w:tbl>
    <w:bookmarkEnd w:id="58"/>
    <w:bookmarkStart w:id="62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1"/>
        </w:tc>
      </w:tr>
    </w:tbl>
    <w:bookmarkEnd w:id="62"/>
    <w:bookmarkStart w:id="74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63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bookmarkStart w:id="64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bookmarkStart w:id="65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73"/>
        </w:tc>
      </w:tr>
    </w:tbl>
    <w:bookmarkEnd w:id="74"/>
    <w:bookmarkEnd w:id="75"/>
    <w:bookmarkStart w:id="184" w:name="odds-and-odds-ratios"/>
    <w:p>
      <w:pPr>
        <w:pStyle w:val="Heading2"/>
      </w:pPr>
      <w:r>
        <w:t xml:space="preserve">1.3 Odds and odds ratios</w:t>
      </w:r>
    </w:p>
    <w:bookmarkStart w:id="125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8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82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bookmarkEnd w:id="83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5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5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9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5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7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03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1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103"/>
                    </w:tc>
                  </w:tr>
                </w:tbl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7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7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0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3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6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4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4"/>
    <w:bookmarkEnd w:id="125"/>
    <w:bookmarkStart w:id="145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8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30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9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4"/>
        </w:tc>
      </w:tr>
    </w:tbl>
    <w:bookmarkEnd w:id="145"/>
    <w:bookmarkStart w:id="183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52"/>
        </w:tc>
      </w:tr>
    </w:tbl>
    <w:bookmarkStart w:id="155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3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53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4"/>
        </w:tc>
      </w:tr>
    </w:tbl>
    <w:bookmarkEnd w:id="155"/>
    <w:bookmarkStart w:id="162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9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61"/>
        </w:tc>
      </w:tr>
    </w:tbl>
    <w:bookmarkEnd w:id="162"/>
    <w:bookmarkStart w:id="175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5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4"/>
        </w:tc>
      </w:tr>
    </w:tbl>
    <w:bookmarkEnd w:id="165"/>
    <w:bookmarkStart w:id="174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6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8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72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7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4"/>
    <w:bookmarkEnd w:id="175"/>
    <w:bookmarkStart w:id="181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6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80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80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81"/>
    <w:bookmarkStart w:id="182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82"/>
    <w:bookmarkEnd w:id="183"/>
    <w:bookmarkEnd w:id="184"/>
    <w:bookmarkStart w:id="219" w:name="the-logit-and-expit-functions"/>
    <w:p>
      <w:pPr>
        <w:pStyle w:val="Heading2"/>
      </w:pPr>
      <w:r>
        <w:t xml:space="preserve">1.4 The logit and expit functions</w:t>
      </w:r>
    </w:p>
    <w:bookmarkStart w:id="202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6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6"/>
          </w:p>
          <w:bookmarkEnd w:id="1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8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8"/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91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4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93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93"/>
                </w:p>
                <w:bookmarkEnd w:id="194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7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1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2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201"/>
              </w:tc>
            </w:tr>
          </w:tbl>
        </w:tc>
      </w:tr>
    </w:tbl>
    <w:bookmarkEnd w:id="202"/>
    <w:bookmarkStart w:id="215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1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4"/>
        </w:tc>
      </w:tr>
    </w:tbl>
    <w:bookmarkEnd w:id="215"/>
    <w:bookmarkStart w:id="218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6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7"/>
              </w:tc>
            </w:tr>
          </w:tbl>
        </w:tc>
      </w:tr>
    </w:tbl>
    <w:bookmarkEnd w:id="218"/>
    <w:bookmarkEnd w:id="219"/>
    <w:bookmarkEnd w:id="220"/>
    <w:bookmarkStart w:id="240" w:name="references"/>
    <w:p>
      <w:pPr>
        <w:pStyle w:val="Heading1"/>
      </w:pPr>
      <w:r>
        <w:t xml:space="preserve">References</w:t>
      </w:r>
    </w:p>
    <w:bookmarkStart w:id="239" w:name="refs"/>
    <w:bookmarkStart w:id="22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https://doi.org/10.1201/9781315182780</w:t>
        </w:r>
      </w:hyperlink>
    </w:p>
    <w:bookmarkEnd w:id="222"/>
    <w:bookmarkStart w:id="224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23">
        <w:r>
          <w:rPr>
            <w:rStyle w:val="Hyperlink"/>
          </w:rPr>
          <w:t xml:space="preserve">https://doi.org/10.1007/978-1-4614-1353-0</w:t>
        </w:r>
      </w:hyperlink>
    </w:p>
    <w:bookmarkEnd w:id="224"/>
    <w:bookmarkStart w:id="226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5">
        <w:r>
          <w:rPr>
            <w:rStyle w:val="Hyperlink"/>
          </w:rPr>
          <w:t xml:space="preserve">https://www.bookdown.org/rwnahhas/RMPH/</w:t>
        </w:r>
      </w:hyperlink>
    </w:p>
    <w:bookmarkEnd w:id="226"/>
    <w:bookmarkStart w:id="227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7"/>
    <w:bookmarkStart w:id="228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8"/>
    <w:bookmarkStart w:id="230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9">
        <w:r>
          <w:rPr>
            <w:rStyle w:val="Hyperlink"/>
          </w:rPr>
          <w:t xml:space="preserve">https://doi.org/10.1002/14651858.CD011054.pub2</w:t>
        </w:r>
      </w:hyperlink>
    </w:p>
    <w:bookmarkEnd w:id="230"/>
    <w:bookmarkStart w:id="232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</w:p>
    <w:bookmarkEnd w:id="232"/>
    <w:bookmarkStart w:id="23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3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4"/>
    <w:bookmarkStart w:id="236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5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6"/>
    <w:bookmarkStart w:id="238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7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8"/>
    <w:bookmarkEnd w:id="239"/>
    <w:bookmarkEnd w:id="2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0" Target="media/rId100.png" /><Relationship Type="http://schemas.openxmlformats.org/officeDocument/2006/relationships/image" Id="rId169" Target="media/rId169.png" /><Relationship Type="http://schemas.openxmlformats.org/officeDocument/2006/relationships/image" Id="rId134" Target="media/rId1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2026-10-25T03:42:28Z</dcterms:created>
  <dcterms:modified xsi:type="dcterms:W3CDTF">2026-10-25T03:42:28Z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