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4.png" ContentType="image/png"/>
  <Override PartName="/word/media/rId38.png" ContentType="image/png"/>
  <Override PartName="/word/media/rId102.png" ContentType="image/png"/>
  <Override PartName="/word/media/rId127.png" ContentType="image/png"/>
  <Override PartName="/word/media/rId1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[1, Ch. 10]</w:t>
      </w:r>
    </w:p>
    <w:p>
      <w:pPr>
        <w:pStyle w:val="Compact"/>
        <w:numPr>
          <w:ilvl w:val="0"/>
          <w:numId w:val="1001"/>
        </w:numPr>
      </w:pPr>
      <w:r>
        <w:t xml:space="preserve">[2]</w:t>
      </w:r>
    </w:p>
    <w:bookmarkEnd w:id="10"/>
    <w:bookmarkStart w:id="24" w:name="sec-pred-sel-intro"/>
    <w:p>
      <w:pPr>
        <w:pStyle w:val="Heading1"/>
      </w:pPr>
      <w:r>
        <w:t xml:space="preserve">1. Introduction</w:t>
      </w:r>
    </w:p>
    <w:bookmarkStart w:id="15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hyperlink w:anchor="def-overfitting">
        <w:r>
          <w:rPr>
            <w:rStyle w:val="Hyperlink"/>
            <w:b/>
            <w:bCs/>
          </w:rPr>
          <w:t xml:space="preserve">Overfitting</w:t>
        </w:r>
      </w:hyperlink>
      <w:r>
        <w:t xml:space="preserve">: the model fits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hyperlink w:anchor="def-collinearity">
        <w:r>
          <w:rPr>
            <w:rStyle w:val="Hyperlink"/>
            <w:b/>
            <w:bCs/>
          </w:rPr>
          <w:t xml:space="preserve">Multicollinearity</w:t>
        </w:r>
      </w:hyperlink>
      <w:r>
        <w:t xml:space="preserve">: highly</w:t>
      </w:r>
      <w:r>
        <w:t xml:space="preserve"> </w:t>
      </w:r>
      <w:hyperlink r:id="rId12">
        <w:r>
          <w:rPr>
            <w:rStyle w:val="Hyperlink"/>
          </w:rPr>
          <w:t xml:space="preserve">correlated</w:t>
        </w:r>
      </w:hyperlink>
      <w:r>
        <w:t xml:space="preserve"> </w:t>
      </w:r>
      <w:r>
        <w:t xml:space="preserve">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5"/>
    <w:bookmarkStart w:id="19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[1, Ch. 10]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</w:t>
      </w:r>
      <w:r>
        <w:t xml:space="preserve"> </w:t>
      </w:r>
      <w:hyperlink r:id="rId16">
        <w:r>
          <w:rPr>
            <w:rStyle w:val="Hyperlink"/>
          </w:rPr>
          <w:t xml:space="preserve">causal diagram (DAG)</w:t>
        </w:r>
      </w:hyperlink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or</w:t>
      </w:r>
      <w:r>
        <w:t xml:space="preserve"> </w:t>
      </w:r>
      <w:hyperlink r:id="rId18">
        <w:r>
          <w:rPr>
            <w:rStyle w:val="Hyperlink"/>
          </w:rPr>
          <w:t xml:space="preserve">BIC</w:t>
        </w:r>
      </w:hyperlink>
      <w:r>
        <w:t xml:space="preserve">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9"/>
    <w:bookmarkStart w:id="23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23"/>
    <w:bookmarkEnd w:id="24"/>
    <w:bookmarkStart w:id="34" w:name="sec-pred-sel-goals-chapter"/>
    <w:p>
      <w:pPr>
        <w:pStyle w:val="Heading1"/>
      </w:pPr>
      <w:r>
        <w:t xml:space="preserve">2. Inferential Goals</w:t>
      </w:r>
    </w:p>
    <w:bookmarkStart w:id="33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[1, Ch. 10]</w:t>
      </w:r>
      <w:r>
        <w:t xml:space="preserve"> </w:t>
      </w:r>
      <w:r>
        <w:t xml:space="preserve">distinguishes three distinct goals:</w:t>
      </w:r>
    </w:p>
    <w:bookmarkStart w:id="2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[3]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26"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27"/>
    <w:bookmarkStart w:id="2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[4]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28"/>
        </w:tc>
      </w:tr>
    </w:tbl>
    <w:p>
      <w:pPr>
        <w:pStyle w:val="BodyText"/>
      </w:pPr>
      <w:r>
        <w:t xml:space="preserve">In observational studies,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29"/>
    <w:bookmarkStart w:id="32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[5]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31"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32"/>
    <w:bookmarkEnd w:id="33"/>
    <w:bookmarkEnd w:id="34"/>
    <w:bookmarkStart w:id="37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The WCGS DAG example</w:t>
        </w:r>
      </w:hyperlink>
    </w:p>
    <w:bookmarkEnd w:id="37"/>
    <w:bookmarkStart w:id="70" w:name="sec-pred-sel-prediction"/>
    <w:p>
      <w:pPr>
        <w:pStyle w:val="Heading1"/>
      </w:pPr>
      <w:r>
        <w:t xml:space="preserve">4.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">
              <w:r>
                <w:rPr>
                  <w:rStyle w:val="Hyperlink"/>
                  <w:i/>
                  <w:iCs/>
                </w:rPr>
                <w:t xml:space="preserve">Prediction and Classification</w:t>
              </w:r>
            </w:hyperlink>
            <w:r>
              <w:t xml:space="preserve"> </w:t>
            </w:r>
            <w:r>
              <w:t xml:space="preserve">(</w:t>
            </w:r>
            <w:hyperlink r:id="rId4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sensitivity,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specificity</w:t>
              </w:r>
            </w:hyperlink>
            <w:r>
              <w:t xml:space="preserve">, predictive values, and ROC curves</w:t>
            </w:r>
            <w:r>
              <w:t xml:space="preserve"> </w:t>
            </w:r>
            <w:r>
              <w:t xml:space="preserve">for classifying outcomes with a fitted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logistic model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bookmarkStart w:id="49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</w:t>
      </w:r>
      <w:r>
        <w:rPr>
          <w:b/>
          <w:bCs/>
        </w:rPr>
        <w:t xml:space="preserve"> </w:t>
      </w:r>
      <w:hyperlink r:id="rId45">
        <w:r>
          <w:rPr>
            <w:rStyle w:val="Hyperlink"/>
            <w:b/>
            <w:bCs/>
          </w:rPr>
          <w:t xml:space="preserve">bias</w:t>
        </w:r>
      </w:hyperlink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</w:t>
      </w:r>
      <w:r>
        <w:rPr>
          <w:b/>
          <w:bCs/>
        </w:rPr>
        <w:t xml:space="preserve"> </w:t>
      </w:r>
      <w:hyperlink r:id="rId46">
        <w:r>
          <w:rPr>
            <w:rStyle w:val="Hyperlink"/>
            <w:b/>
            <w:bCs/>
          </w:rPr>
          <w:t xml:space="preserve">variance</w:t>
        </w:r>
      </w:hyperlink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4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bias–variance trade-off</w:t>
        </w:r>
      </w:hyperlink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49"/>
    <w:bookmarkStart w:id="52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</w:t>
      </w:r>
      <w:r>
        <w:t xml:space="preserve"> </w:t>
      </w:r>
      <w:hyperlink r:id="rId11">
        <w:r>
          <w:rPr>
            <w:rStyle w:val="Hyperlink"/>
          </w:rPr>
          <w:t xml:space="preserve">development set</w:t>
        </w:r>
      </w:hyperlink>
      <w:r>
        <w:t xml:space="preserve">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tbl-overfit-examp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Numerical example showing overfitting:</w:t>
                  </w:r>
                  <w:r>
                    <w:t xml:space="preserve"> </w:t>
                  </w:r>
                  <w:r>
                    <w:t xml:space="preserve">lower training error but worse validation error.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n_noise_predictors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hers_base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statins)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drop_na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(hers_base)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idx_overfit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sample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(n_overfit),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floor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n_overfit))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train_overfit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hers_base[idx_overfit, 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valid_overfit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hers_base[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idx_overfit,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ControlFlowTok"/>
                    </w:rPr>
                    <w:t xml:space="preserve">for</w:t>
                  </w:r>
                  <w:r>
                    <w:rPr>
                      <w:rStyle w:val="NormalTok"/>
                    </w:rPr>
                    <w:t xml:space="preserve"> (j </w:t>
                  </w:r>
                  <w:r>
                    <w:rPr>
                      <w:rStyle w:val="ControlFlowTok"/>
                    </w:rPr>
                    <w:t xml:space="preserve">in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(n_noise_predictors))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zname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j)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train_overfit[[zname]]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(train_overfit))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valid_overfit[[zname]]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(valid_overfit))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model_parsimonious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train_overfit)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noise_terms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(n_noise_predictors))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overfit_formula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reformulate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"statins"</w:t>
                  </w:r>
                  <w:r>
                    <w:rPr>
                      <w:rStyle w:val="NormalTok"/>
                    </w:rPr>
                    <w:t xml:space="preserve">, noise_terms), 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overfit_formula,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train_overfit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rmse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(y, yhat)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((y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yhat)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"Parsimonious model"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"Overfit model (+"</w:t>
                  </w:r>
                  <w:r>
                    <w:rPr>
                      <w:rStyle w:val="NormalTok"/>
                    </w:rPr>
                    <w:t xml:space="preserve">, n_noise_predictors, </w:t>
                  </w:r>
                  <w:r>
                    <w:rPr>
                      <w:rStyle w:val="StringTok"/>
                    </w:rPr>
                    <w:t xml:space="preserve">" noise predictors)"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Training_sRMSE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train_overfit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(model_parsimonious,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train_overfit)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(train_overfit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(model_overfit,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train_overfit))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Validation_sRMSE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valid_overfit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(model_parsimonious,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valid_overfit)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(valid_overfit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(model_overfit,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valid_overfit))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(Training_sRMSE, Validation_sRMSE),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(.x,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                           Training_sRMSE Validation_sRMSE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               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Parsimonious model                             37.0             36.7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Overfit model (+20 noise predictors)           36.9             37.0</w:t>
                  </w:r>
                </w:p>
                <w:bookmarkEnd w:id="50"/>
              </w:tc>
            </w:tr>
          </w:tbl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</w:t>
      </w:r>
      <w:r>
        <w:t xml:space="preserve"> </w:t>
      </w:r>
      <w:hyperlink r:id="rId51">
        <w:r>
          <w:rPr>
            <w:rStyle w:val="Hyperlink"/>
          </w:rPr>
          <w:t xml:space="preserve">sample root mean squared error (sRMSE)</w:t>
        </w:r>
      </w:hyperlink>
      <w:r>
        <w:t xml:space="preserve"> </w:t>
      </w:r>
      <w:r>
        <w:t xml:space="preserve">but higher validation sRMSE,</w:t>
      </w:r>
      <w:r>
        <w:t xml:space="preserve"> </w:t>
      </w:r>
      <w:r>
        <w:t xml:space="preserve">which is the defining pattern of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bookmarkEnd w:id="52"/>
    <w:bookmarkStart w:id="57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continuous outcomes</w:t>
        </w:r>
      </w:hyperlink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hyperlink r:id="rId17">
        <w:r>
          <w:rPr>
            <w:rStyle w:val="Hyperlink"/>
            <w:b/>
            <w:bCs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  <w:b/>
            <w:bCs/>
          </w:rPr>
          <w:t xml:space="preserve">BIC</w:t>
        </w:r>
      </w:hyperlink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binary outcomes</w:t>
        </w:r>
      </w:hyperlink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</w:t>
      </w:r>
      <w:r>
        <w:t xml:space="preserve"> </w:t>
      </w:r>
      <w:hyperlink r:id="rId55">
        <w:r>
          <w:rPr>
            <w:rStyle w:val="Hyperlink"/>
          </w:rPr>
          <w:t xml:space="preserve">censored</w:t>
        </w:r>
      </w:hyperlink>
      <w:r>
        <w:t xml:space="preserve">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</w:t>
      </w:r>
      <w:r>
        <w:t xml:space="preserve"> </w:t>
      </w:r>
      <w:hyperlink r:id="rId56">
        <w:r>
          <w:rPr>
            <w:rStyle w:val="Hyperlink"/>
          </w:rPr>
          <w:t xml:space="preserve">risk score</w:t>
        </w:r>
      </w:hyperlink>
      <w:r>
        <w:t xml:space="preserve">.</w:t>
      </w:r>
    </w:p>
    <w:bookmarkEnd w:id="57"/>
    <w:bookmarkStart w:id="6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rem-kfold-choice-of-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). </w:t>
            </w: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61"/>
          <w:p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</w:t>
      </w:r>
      <w:r>
        <w:t xml:space="preserve"> </w:t>
      </w:r>
      <w:hyperlink r:id="rId62">
        <w:r>
          <w:rPr>
            <w:rStyle w:val="Hyperlink"/>
          </w:rPr>
          <w:t xml:space="preserve">held-out data</w:t>
        </w:r>
      </w:hyperlink>
      <w:r>
        <w:t xml:space="preserve"> </w:t>
      </w:r>
      <w:r>
        <w:t xml:space="preserve">that did not influence the model fit.</w:t>
      </w:r>
    </w:p>
    <w:bookmarkEnd w:id="63"/>
    <w:bookmarkStart w:id="67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select the</w:t>
      </w:r>
      <w:r>
        <w:t xml:space="preserve"> </w:t>
      </w:r>
      <w:hyperlink r:id="rId64">
        <w:r>
          <w:rPr>
            <w:rStyle w:val="Hyperlink"/>
          </w:rPr>
          <w:t xml:space="preserve">penalty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hyperlink r:id="rId6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</w:t>
      </w:r>
      <w:r>
        <w:t xml:space="preserve"> </w:t>
      </w:r>
      <w:hyperlink r:id="rId66">
        <w:r>
          <w:rPr>
            <w:rStyle w:val="Hyperlink"/>
          </w:rPr>
          <w:t xml:space="preserve">one standard error</w:t>
        </w:r>
      </w:hyperlink>
      <w:r>
        <w:t xml:space="preserve"> </w:t>
      </w:r>
      <w:r>
        <w:t xml:space="preserve">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</w:t>
      </w:r>
      <w:r>
        <w:t xml:space="preserve"> </w:t>
      </w:r>
      <w:hyperlink r:id="rId48">
        <w:r>
          <w:rPr>
            <w:rStyle w:val="Hyperlink"/>
          </w:rPr>
          <w:t xml:space="preserve">bias–variance trade-off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sample mean squared error (sMSE),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67"/>
    <w:bookmarkStart w:id="69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development set</w:t>
        </w:r>
      </w:hyperlink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sRMSE: 36.78 </w:t>
      </w:r>
      <w:r>
        <w:br/>
      </w:r>
      <w:r>
        <w:rPr>
          <w:rStyle w:val="CommentTok"/>
        </w:rPr>
        <w:t xml:space="preserve">#&gt;  Validation sRMSE: 36.85</w:t>
      </w:r>
    </w:p>
    <w:p>
      <w:pPr>
        <w:pStyle w:val="FirstParagraph"/>
      </w:pPr>
      <w:r>
        <w:t xml:space="preserve">If the validation sRMSE is much larger than the training sRMSE,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69"/>
    <w:bookmarkEnd w:id="70"/>
    <w:bookmarkStart w:id="90" w:name="sec-pred-sel-eval"/>
    <w:p>
      <w:pPr>
        <w:pStyle w:val="Heading1"/>
      </w:pPr>
      <w:r>
        <w:t xml:space="preserve">5. Evaluating a Predictor of Primary Interest</w:t>
      </w:r>
    </w:p>
    <w:bookmarkStart w:id="71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71"/>
    <w:bookmarkStart w:id="72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</w:t>
      </w:r>
      <w:r>
        <w:t xml:space="preserve"> </w:t>
      </w:r>
      <w:hyperlink r:id="rId30">
        <w:r>
          <w:rPr>
            <w:rStyle w:val="Hyperlink"/>
          </w:rPr>
          <w:t xml:space="preserve">statistical significance</w:t>
        </w:r>
      </w:hyperlink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72"/>
    <w:bookmarkStart w:id="82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</w:t>
      </w:r>
      <w:r>
        <w:t xml:space="preserve"> </w:t>
      </w:r>
      <w:hyperlink r:id="rId73">
        <w:r>
          <w:rPr>
            <w:rStyle w:val="Hyperlink"/>
          </w:rPr>
          <w:t xml:space="preserve">p-value</w:t>
        </w:r>
      </w:hyperlink>
      <w:r>
        <w:t xml:space="preserve">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</w:t>
      </w:r>
      <w:r>
        <w:t xml:space="preserve"> </w:t>
      </w:r>
      <w:hyperlink r:id="rId45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[7, Ch. 8], pp. 194–212, [1, Ch. 10], pp. 257–275, [8, p. 125], [9, p. 340]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t>​</m:t>
          </m:r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[1]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81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</w:t>
      </w:r>
      <w:r>
        <w:t xml:space="preserve"> </w:t>
      </w:r>
      <w:hyperlink r:id="rId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[7, Ch. 8]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" w:name="tbl-wcgs-10p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10% change-in-estimate rule applied to the WCGS data.</w:t>
                  </w:r>
                  <w:r>
                    <w:t xml:space="preserve"> </w:t>
                  </w:r>
                  <w:r>
                    <w:t xml:space="preserve">The Type A coefficient from the full model</w:t>
                  </w:r>
                  <w:r>
                    <w:t xml:space="preserve"> </w:t>
                  </w:r>
                  <w:r>
                    <w:t xml:space="preserve">is compared with coefficients from models that drop one confounder at a time.</w:t>
                  </w:r>
                  <w:r>
                    <w:t xml:space="preserve"> </w:t>
                  </w:r>
                  <w:r>
                    <w:t xml:space="preserve">A percentage change exceeding 10% indicates meaningful confounding.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results_df,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"Dropped variable"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"β (full model)"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"β (reduced model)"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"% change"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"Meaningful confounder?"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41"/>
                    <w:gridCol w:w="1448"/>
                    <w:gridCol w:w="1738"/>
                    <w:gridCol w:w="869"/>
                    <w:gridCol w:w="222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Dropped 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β (full model)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β (reduced model)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% 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Meaningful confounder?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0.7303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smoke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0.7031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</w:tbl>
                <w:bookmarkEnd w:id="77"/>
                <w:p/>
              </w:tc>
            </w:tr>
          </w:tbl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" w:name="tbl-wcgs-10pct-bw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Backward elimination under the 10% change-in-estimate rule,</w:t>
                  </w:r>
                  <w:r>
                    <w:t xml:space="preserve"> </w:t>
                  </w:r>
                  <w:r>
                    <w:t xml:space="preserve">with standard-error reduction</w:t>
                  </w:r>
                  <w:r>
                    <w:t xml:space="preserve"> </w:t>
                  </w:r>
                  <w:r>
                    <w:t xml:space="preserve">used to choose among eligible drops.</w:t>
                  </w:r>
                  <w:r>
                    <w:t xml:space="preserve"> </w:t>
                  </w:r>
                  <w:r>
                    <w:t xml:space="preserve">The reference for the percent-change criterion</w:t>
                  </w:r>
                  <w:r>
                    <w:t xml:space="preserve"> </w:t>
                  </w:r>
                  <w:r>
                    <w:t xml:space="preserve">is always the Type A coefficient in the original full model.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bwe_steps_df,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"Step"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"Dropped covariate"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"% change from full model"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before drop"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after drop"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reduction"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40"/>
                    <w:gridCol w:w="1584"/>
                    <w:gridCol w:w="2200"/>
                    <w:gridCol w:w="1320"/>
                    <w:gridCol w:w="1232"/>
                    <w:gridCol w:w="11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Step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Dropped covariate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% change from full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before drop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after drop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reduction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0.1422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0.0008</w:t>
                        </w:r>
                      </w:p>
                    </w:tc>
                  </w:tr>
                </w:tbl>
                <w:bookmarkEnd w:id="78"/>
                <w:p/>
              </w:tc>
            </w:tr>
          </w:tbl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[1, Ch. 10], pp. 257–275</w:t>
      </w:r>
      <w:r>
        <w:t xml:space="preserve">,</w:t>
      </w:r>
      <w:r>
        <w:t xml:space="preserve"> </w:t>
      </w:r>
      <w:r>
        <w:t xml:space="preserve">Kleinbaum and Klein [7, Ch. 6–8]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[10, Ch. 21], section</w:t>
      </w:r>
      <w:r>
        <w:t xml:space="preserve"> </w:t>
      </w:r>
      <w:r>
        <w:t xml:space="preserve">“Model Selection”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</w:t>
            </w:r>
            <w:r>
              <w:t xml:space="preserve"> </w:t>
            </w:r>
            <w:hyperlink w:anchor="def-collinearity">
              <w:r>
                <w:rPr>
                  <w:rStyle w:val="Hyperlink"/>
                </w:rPr>
                <w:t xml:space="preserve">collinearity</w:t>
              </w:r>
            </w:hyperlink>
            <w:r>
              <w:t xml:space="preserve"> </w:t>
            </w:r>
            <w:r>
              <w:t xml:space="preserve">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81"/>
    <w:bookmarkEnd w:id="82"/>
    <w:bookmarkStart w:id="83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83"/>
    <w:bookmarkStart w:id="84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84"/>
    <w:bookmarkStart w:id="89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</w:t>
      </w:r>
      <w:r>
        <w:t xml:space="preserve"> </w:t>
      </w:r>
      <w:hyperlink r:id="rId85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with pre-treatment covariates in expectation.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continuous outcomes</w:t>
        </w:r>
      </w:hyperlink>
      <w:r>
        <w:t xml:space="preserve">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hyperlink w:anchor="sec-pred-sel-vif">
        <w:r>
          <w:rPr>
            <w:rStyle w:val="Hyperlink"/>
          </w:rPr>
          <w:t xml:space="preserve">variance inflation</w:t>
        </w:r>
      </w:hyperlink>
      <w:r>
        <w:t xml:space="preserve"> </w:t>
      </w:r>
      <w:r>
        <w:t xml:space="preserve">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</w:t>
      </w:r>
      <w:r>
        <w:t xml:space="preserve"> </w:t>
      </w:r>
      <w:hyperlink r:id="rId86">
        <w:r>
          <w:rPr>
            <w:rStyle w:val="Hyperlink"/>
          </w:rPr>
          <w:t xml:space="preserve">Cox models</w:t>
        </w:r>
      </w:hyperlink>
      <w:r>
        <w:t xml:space="preserve">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89"/>
    <w:bookmarkEnd w:id="90"/>
    <w:bookmarkStart w:id="95" w:name="sec-pred-sel-multiple-chapter"/>
    <w:p>
      <w:pPr>
        <w:pStyle w:val="Heading1"/>
      </w:pPr>
      <w:r>
        <w:t xml:space="preserve">6. Identifying Multiple Important Predictors</w:t>
      </w:r>
    </w:p>
    <w:bookmarkStart w:id="91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hyperlink w:anchor="def-collinearity">
        <w:r>
          <w:rPr>
            <w:rStyle w:val="Hyperlink"/>
          </w:rPr>
          <w:t xml:space="preserve">Collinear</w:t>
        </w:r>
      </w:hyperlink>
      <w:r>
        <w:t xml:space="preserve"> </w:t>
      </w:r>
      <w:r>
        <w:t xml:space="preserve">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91"/>
    <w:bookmarkStart w:id="92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[11]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92"/>
    <w:bookmarkStart w:id="93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93"/>
    <w:bookmarkStart w:id="94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[12]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</w:t>
      </w:r>
      <w:r>
        <w:t xml:space="preserve"> </w:t>
      </w:r>
      <w:hyperlink r:id="rId86">
        <w:r>
          <w:rPr>
            <w:rStyle w:val="Hyperlink"/>
          </w:rPr>
          <w:t xml:space="preserve">Cox model</w:t>
        </w:r>
      </w:hyperlink>
      <w:r>
        <w:t xml:space="preserve">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94"/>
    <w:bookmarkEnd w:id="95"/>
    <w:bookmarkStart w:id="108" w:name="sec-pred-sel-stepwise"/>
    <w:p>
      <w:pPr>
        <w:pStyle w:val="Heading1"/>
      </w:pPr>
      <w:r>
        <w:t xml:space="preserve">7. Testing-based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98">
              <w:r>
                <w:rPr>
                  <w:rStyle w:val="Hyperlink"/>
                  <w:i/>
                  <w:iCs/>
                </w:rPr>
                <w:t xml:space="preserve">Variable Selection and Model Choice</w:t>
              </w:r>
            </w:hyperlink>
            <w:r>
              <w:t xml:space="preserve"> </w:t>
            </w:r>
            <w:r>
              <w:t xml:space="preserve">(</w:t>
            </w:r>
            <w:hyperlink r:id="rId99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comparing logistic models with</w:t>
            </w:r>
            <w:r>
              <w:t xml:space="preserve"> </w:t>
            </w:r>
            <w:r>
              <w:rPr>
                <w:rStyle w:val="VerbatimChar"/>
              </w:rPr>
              <w:t xml:space="preserve">drop1()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add1()</w:t>
            </w:r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AIC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BIC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stepwise selection with</w:t>
            </w:r>
            <w:r>
              <w:t xml:space="preserve"> </w:t>
            </w:r>
            <w:r>
              <w:rPr>
                <w:rStyle w:val="VerbatimChar"/>
              </w:rPr>
              <w:t xml:space="preserve">step()</w:t>
            </w:r>
            <w:r>
              <w:t xml:space="preserve">,</w:t>
            </w:r>
            <w:r>
              <w:t xml:space="preserve"> </w:t>
            </w:r>
            <w:r>
              <w:t xml:space="preserve">and how heavy variable selection produces spurious findings and</w:t>
            </w:r>
            <w:r>
              <w:t xml:space="preserve"> 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Testing-based selection methods use statistical tests</w:t>
      </w:r>
      <w:r>
        <w:t xml:space="preserve"> </w:t>
      </w:r>
      <w:r>
        <w:t xml:space="preserve">(such as</w:t>
      </w:r>
      <w:r>
        <w:t xml:space="preserve"> </w:t>
      </w:r>
      <w:hyperlink r:id="rId100">
        <w:r>
          <w:rPr>
            <w:rStyle w:val="Hyperlink"/>
          </w:rPr>
          <w:t xml:space="preserve">F-tests</w:t>
        </w:r>
      </w:hyperlink>
      <w:r>
        <w:t xml:space="preserve"> </w:t>
      </w:r>
      <w:r>
        <w:t xml:space="preserve">or</w:t>
      </w:r>
      <w:r>
        <w:t xml:space="preserve"> </w:t>
      </w:r>
      <w:hyperlink r:id="rId101">
        <w:r>
          <w:rPr>
            <w:rStyle w:val="Hyperlink"/>
          </w:rPr>
          <w:t xml:space="preserve">likelihood ratio tests</w:t>
        </w:r>
      </w:hyperlink>
      <w:r>
        <w:t xml:space="preserve">)</w:t>
      </w:r>
      <w:r>
        <w:t xml:space="preserve"> </w:t>
      </w:r>
      <w:r>
        <w:t xml:space="preserve">to decide which predictors to include in a model.</w:t>
      </w:r>
    </w:p>
    <w:bookmarkStart w:id="106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73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</w:t>
            </w:r>
            <w:hyperlink r:id="rId16">
              <w:r>
                <w:rPr>
                  <w:rStyle w:val="Hyperlink"/>
                </w:rPr>
                <w:t xml:space="preserve">DAGs</w:t>
              </w:r>
            </w:hyperlink>
            <w:r>
              <w:t xml:space="preserve">),</w:t>
            </w:r>
            <w:r>
              <w:t xml:space="preserve"> </w:t>
            </w:r>
            <w:hyperlink w:anchor="def-kfold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 or penalized methods (such as</w:t>
            </w:r>
            <w:r>
              <w:t xml:space="preserve"> </w:t>
            </w:r>
            <w:hyperlink w:anchor="sec-pred-sel-lasso">
              <w:r>
                <w:rPr>
                  <w:rStyle w:val="Hyperlink"/>
                </w:rPr>
                <w:t xml:space="preserve">LASSO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[2]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106"/>
    <w:bookmarkStart w:id="107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107"/>
    <w:bookmarkEnd w:id="108"/>
    <w:bookmarkStart w:id="118" w:name="sec-pred-sel-aic-bic"/>
    <w:p>
      <w:pPr>
        <w:pStyle w:val="Heading1"/>
      </w:pPr>
      <w:r>
        <w:t xml:space="preserve">8. Criterion-based selection</w:t>
      </w:r>
    </w:p>
    <w:bookmarkStart w:id="11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Akaike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Bayesian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</w:t>
      </w:r>
      <w:r>
        <w:t xml:space="preserve"> </w:t>
      </w:r>
      <w:hyperlink r:id="rId109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0" w:name="exm-aic-bic-compare"/>
          <w:p>
            <w:pPr>
              <w:pStyle w:val="BodyText"/>
            </w:pPr>
            <w:r>
              <w:rPr>
                <w:b/>
                <w:bCs/>
              </w:rPr>
              <w:t xml:space="preserve">Example 4 (Comparing two models by AIC and BIC)</w:t>
            </w:r>
            <w:r>
              <w:t xml:space="preserve"> </w:t>
            </w:r>
            <w:r>
              <w:t xml:space="preserve">Suppose two candidate models are fit to the same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observations.</w:t>
            </w:r>
            <w:r>
              <w:t xml:space="preserve"> </w:t>
            </w:r>
            <w:r>
              <w:t xml:space="preserve">Model A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maximized log-likelihood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120.0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model B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parameters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118.5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120.0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118.5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and, 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4.605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23.03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260.03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criteria prefer model A.</w:t>
            </w:r>
            <w:r>
              <w:t xml:space="preserve"> </w:t>
            </w:r>
            <w:r>
              <w:t xml:space="preserve">Model B fits better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but the penalty for its two extra parameters is larger than the gain from that better fit.</w:t>
            </w:r>
            <w:r>
              <w:t xml:space="preserve"> </w:t>
            </w:r>
            <w:r>
              <w:t xml:space="preserve">The AIC difference is only 1,</w:t>
            </w:r>
            <w:r>
              <w:t xml:space="preserve"> </w:t>
            </w:r>
            <w:r>
              <w:t xml:space="preserve">which is negligible,</w:t>
            </w:r>
            <w:r>
              <w:t xml:space="preserve"> </w:t>
            </w:r>
            <w:r>
              <w:t xml:space="preserve">while the BIC difference of about 6.2 favors model A more clearly,</w:t>
            </w:r>
            <w:r>
              <w:t xml:space="preserve"> </w:t>
            </w:r>
            <w:r>
              <w:t xml:space="preserve">because BIC charges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</m:t>
              </m:r>
            </m:oMath>
            <w:r>
              <w:t xml:space="preserve"> </w:t>
            </w:r>
            <w:r>
              <w:t xml:space="preserve">per parameter instead of 2.</w:t>
            </w:r>
          </w:p>
          <w:bookmarkEnd w:id="1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thm-aic-lrt"/>
          <w:p>
            <w:pPr>
              <w:pStyle w:val="BodyText"/>
            </w:pPr>
            <w:r>
              <w:rPr>
                <w:b/>
                <w:bCs/>
              </w:rPr>
              <w:t xml:space="preserve">Theorem 1 (Information criteria as likelihood ratio thresholds)</w:t>
            </w:r>
            <w:r>
              <w:t xml:space="preserve"> </w:t>
            </w:r>
            <w:r>
              <w:t xml:space="preserve">Let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be nested in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having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more parameters than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both fit by maximum likelihood to the same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likelihood ratio test statistic</w:t>
              </w:r>
            </w:hyperlink>
            <w:r>
              <w:t xml:space="preserve"> </w:t>
            </w:r>
            <w:r>
              <w:t xml:space="preserve">comparing them.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n</m:t>
                    </m:r>
                  </m:e>
                </m:d>
                <m:r>
                  <m:t>​</m:t>
                </m:r>
              </m:oMath>
            </m:oMathPara>
          </w:p>
          <w:bookmarkEnd w:id="1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 so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BIC calculation is the same</w:t>
            </w:r>
            <w:r>
              <w:t xml:space="preserve"> </w:t>
            </w:r>
            <w:r>
              <w:t xml:space="preserve">with each penalty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4" w:name="exm-aic-lrt"/>
          <w:p>
            <w:pPr>
              <w:pStyle w:val="BodyText"/>
            </w:pPr>
            <w:r>
              <w:rPr>
                <w:b/>
                <w:bCs/>
              </w:rPr>
              <w:t xml:space="preserve">Example 5 (The significance levels implied by AIC and BIC)</w:t>
            </w:r>
            <w:r>
              <w:t xml:space="preserve"> </w:t>
            </w:r>
            <w:r>
              <w:t xml:space="preserve">Suppose model A in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nested in model B,</w:t>
            </w:r>
            <w:r>
              <w:t xml:space="preserve"> </w:t>
            </w:r>
            <w:r>
              <w:t xml:space="preserve">so model B adds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likelihood ratio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118.5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120.0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ic-lr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AIC prefers model B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BIC (with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)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9.21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clears neither threshold,</w:t>
            </w:r>
            <w:r>
              <w:t xml:space="preserve"> </w:t>
            </w:r>
            <w:r>
              <w:t xml:space="preserve">both criteria prefer model A,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extra parameters are zero),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approximately follows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hyperlink r:id="rId113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mean 2,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Choosing model B whenever AIC prefers it</w:t>
            </w:r>
            <w:r>
              <w:t xml:space="preserve"> </w:t>
            </w:r>
            <w:r>
              <w:t xml:space="preserve">therefore acts like a likelihood ratio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choosing by BIC acts like a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2s)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AIC is a more lenient threshold than the conventional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one reason it tends to select larger models,</w:t>
            </w:r>
            <w:r>
              <w:t xml:space="preserve"> </w:t>
            </w:r>
            <w:r>
              <w:t xml:space="preserve">while BIC’s implied level shrinks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14"/>
        </w:tc>
      </w:tr>
    </w:tbl>
    <w:bookmarkEnd w:id="115"/>
    <w:bookmarkStart w:id="11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tbl-model-compari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Comparison of LDL models by AIC, BIC, and adjusted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models_ldl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only"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age"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statins"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age + BMI + diabetes + statins"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"Full model"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smoking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SBP,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(models_ldl),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AIC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(models_ldl, AIC),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BIC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(models_ldl, BIC),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Adj_R2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models_ldl,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(m)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(m)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adj.r.squared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5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                             AIC    BIC    Adj_R2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                   &lt;dbl&gt; 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HT only                             27807. 27825. -0.000341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HT + age                            27802. 27826.  0.00202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HT + statins                        27681. 27704.  0.0451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HT + age + BMI + diabetes + statins 27617. 27658.  0.0511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Full model                          27609. 27662.  0.0545</w:t>
                  </w:r>
                </w:p>
                <w:bookmarkEnd w:id="116"/>
              </w:tc>
            </w:tr>
          </w:tbl>
        </w:tc>
      </w:tr>
    </w:tbl>
    <w:bookmarkEnd w:id="117"/>
    <w:bookmarkEnd w:id="118"/>
    <w:bookmarkStart w:id="138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126" w:name="the-lasso"/>
    <w:p>
      <w:pPr>
        <w:pStyle w:val="Heading2"/>
      </w:pPr>
      <w:r>
        <w:t xml:space="preserve">9.1 The LASSO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0" w:name="def-lasso"/>
          <w:p>
            <w:pPr>
              <w:pStyle w:val="BodyText"/>
            </w:pPr>
            <w:r>
              <w:rPr>
                <w:b/>
                <w:bCs/>
              </w:rPr>
              <w:t xml:space="preserve">Definition 3 (LASSO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(Least Absolute Shrinkage and Selection Operator) estimate</w:t>
            </w:r>
            <w:r>
              <w:t xml:space="preserve"> </w:t>
            </w:r>
            <w:r>
              <w:t xml:space="preserve">of the coefficients</w:t>
            </w:r>
            <w:r>
              <w:t xml:space="preserve"> </w:t>
            </w:r>
            <w:r>
              <w:t xml:space="preserve">$\mathord{\smash[b]{\underset{\raise.3ex\hbox{$\scriptstyle\sim$}}{\beta}}\vphantom{\beta}}= {(\beta_1, \dots, \beta_p)}^{\top}$</w:t>
            </w:r>
            <w:r>
              <w:t xml:space="preserve"> </w:t>
            </w:r>
            <w:r>
              <w:t xml:space="preserve">maximizes 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minus an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penalty:</w:t>
            </w:r>
          </w:p>
          <w:p>
            <w:pPr>
              <w:pStyle w:val="BodyText"/>
            </w:pPr>
            <w:bookmarkStart w:id="119" w:name="eq-lasso"/>
            <w:r>
              <w:t xml:space="preserve">$$
    \hat{\mathord{\smash[b]{\underset{\raise.3ex\hbox{$\scriptstyle\sim$}}{\beta}}\vphantom{\beta}}}_\lambda \stackrel{\text{def}}{=}\arg\max_{\mathord{\smash[b]{\underset{\raise.3ex\hbox{$\scriptstyle\sim$}}{\beta}}\vphantom{\beta}}} {\mathopen{}\left\{
    \ell(\mathord{\smash[b]{\underset{\raise.3ex\hbox{$\scriptstyle\sim$}}{\beta}}\vphantom{\beta}}) - \lambda \sum_{j=1}^p \mathopen{}\left|\beta_j\right|\mathclose{}
    \right\}\mathclose{}}
     \qquad(1)$$</w:t>
            </w:r>
            <w:bookmarkEnd w:id="11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tuning parameter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intercept, if any, is not penalized.</w:t>
            </w:r>
          </w:p>
          <w:bookmarkEnd w:id="120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penalty, so</w:t>
      </w:r>
      <w:r>
        <w:t xml:space="preserve"> </w:t>
      </w:r>
      <w:r>
        <w:t xml:space="preserve">$\hat{\mathord{\smash[b]{\underset{\raise.3ex\hbox{$\scriptstyle\sim$}}{\beta}}\vphantom{\beta}}}_0$</w:t>
      </w:r>
      <w:r>
        <w:t xml:space="preserve"> </w:t>
      </w:r>
      <w:r>
        <w:t xml:space="preserve">is the</w:t>
      </w:r>
      <w:r>
        <w:t xml:space="preserve"> </w:t>
      </w:r>
      <w:hyperlink r:id="rId12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for a Gaussian linear model).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4" w:name="thm-lasso-soft-threshold"/>
          <w:p>
            <w:pPr>
              <w:pStyle w:val="BodyText"/>
            </w:pPr>
            <w:r>
              <w:rPr>
                <w:b/>
                <w:bCs/>
              </w:rPr>
              <w:t xml:space="preserve">Theorem 2 (The LASSO with one predictor soft-thresholds)</w:t>
            </w:r>
            <w:r>
              <w:t xml:space="preserve"> </w:t>
            </w:r>
            <w:r>
              <w:t xml:space="preserve">Consider a Gaussian linear model with no intercept,</w:t>
            </w:r>
            <w:r>
              <w:t xml:space="preserve"> </w:t>
            </w:r>
            <w:r>
              <w:t xml:space="preserve">one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error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the log-likelihood is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z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in this model.</w:t>
            </w:r>
            <w:r>
              <w:t xml:space="preserve"> </w:t>
            </w:r>
            <w:r>
              <w:t xml:space="preserve">Then the LASSO estimate (</w:t>
            </w:r>
            <w:hyperlink w:anchor="def-lasso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23" w:name="eq-lasso-soft-threshold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t>z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bookmarkEnd w:id="12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same as minimizing its negative 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dropped.</w:t>
            </w:r>
            <w:r>
              <w:t xml:space="preserve"> </w:t>
            </w:r>
            <w:r>
              <w:t xml:space="preserve">Expanding the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β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 over the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z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term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z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β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strictly convex</w:t>
            </w:r>
            <w:r>
              <w:t xml:space="preserve"> </w:t>
            </w:r>
            <w:r>
              <w:t xml:space="preserve">(a strictly convex quadratic plus the convex function</w:t>
            </w:r>
            <w:r>
              <w:t xml:space="preserve"> </w:t>
            </w:r>
            <m:oMath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has exactly one minimizer.</w:t>
            </w:r>
            <w:r>
              <w:t xml:space="preserve"> </w:t>
            </w:r>
            <w:r>
              <w:t xml:space="preserve">On each side of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 smooth quadratic: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decreases up 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increases after it,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Together, these three cases give</w:t>
            </w:r>
            <w:r>
              <w:t xml:space="preserve"> </w:t>
            </w:r>
            <w:hyperlink w:anchor="eq-lasso-soft-threshold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exm-lasso-soft-threshold"/>
          <w:p>
            <w:pPr>
              <w:pStyle w:val="BodyText"/>
            </w:pPr>
            <w:r>
              <w:rPr>
                <w:b/>
                <w:bCs/>
              </w:rPr>
              <w:t xml:space="preserve">Example 6 (Soft-thresholding three estimates)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lasso-soft-threshol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stays in the model,</w:t>
            </w:r>
            <w:r>
              <w:t xml:space="preserve"> </w:t>
            </w:r>
            <w:r>
              <w:t xml:space="preserve">with its coefficient shrunk toward zero by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again shrunk toward zero by 1.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is dropped from the model.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estimates equal their least squares values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Raising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would set all three to zero,</w:t>
            </w:r>
            <w:r>
              <w:t xml:space="preserve"> </w:t>
            </w:r>
            <w:r>
              <w:t xml:space="preserve">since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t xml:space="preserve"> </w:t>
            </w:r>
            <w:r>
              <w:t xml:space="preserve">in every case.</w:t>
            </w:r>
          </w:p>
          <w:bookmarkEnd w:id="125"/>
        </w:tc>
      </w:tr>
    </w:tbl>
    <w:bookmarkEnd w:id="126"/>
    <w:bookmarkStart w:id="137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lasso-ldl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(glmnet)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hers_ldl_complete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BMI, diabetes, smoking, statins, SBP)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drop_na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hers_ldl_complete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hers_ldl_complete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LDL)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(HT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statins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diabetes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(diabetes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smoking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(smoking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as.matrix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lasso_fit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glmnet</w:t>
                  </w:r>
                  <w:r>
                    <w:rPr>
                      <w:rStyle w:val="NormalTok"/>
                    </w:rPr>
                    <w:t xml:space="preserve">(x_ldl, y_ldl)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(lasso_fit, </w:t>
                  </w:r>
                  <w:r>
                    <w:rPr>
                      <w:rStyle w:val="AttributeTok"/>
                    </w:rPr>
                    <w:t xml:space="preserve">xvar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edictor-selection_files/figure-docx/unnamed-chunk-4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LASSO coefficient paths for LDL predictors in HERS.</w:t>
                  </w:r>
                  <w:r>
                    <w:t xml:space="preserve"> </w:t>
                  </w:r>
                  <w:r>
                    <w:t xml:space="preserve">Each line traces one predictor’s coefficient as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increases.</w:t>
                  </w:r>
                  <w:r>
                    <w:t xml:space="preserve"> </w:t>
                  </w:r>
                  <w:r>
                    <w:t xml:space="preserve">Coefficients shrink toward zero as the penalty grows;</w:t>
                  </w:r>
                  <w:r>
                    <w:t xml:space="preserve"> </w:t>
                  </w:r>
                  <w:r>
                    <w:t xml:space="preserve">some reach exactly zero (variables excluded from the model).</w:t>
                  </w:r>
                </w:p>
                <w:bookmarkEnd w:id="130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4" w:name="fig-lasso-cv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cv_lasso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cv.glmnet</w:t>
                  </w:r>
                  <w:r>
                    <w:rPr>
                      <w:rStyle w:val="NormalTok"/>
                    </w:rPr>
                    <w:t xml:space="preserve">(x_ldl, y_ldl)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(cv_lasso)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edictor-selection_files/figure-docx/unnamed-chunk-5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Cross-validated LASSO for LDL: mean squared error vs. 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left dashed line marks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lambda.min</w:t>
                  </w:r>
                  <w:r>
                    <w:t xml:space="preserve"> </w:t>
                  </w:r>
                  <w:r>
                    <w:t xml:space="preserve">(minimum CV error);</w:t>
                  </w:r>
                  <w:r>
                    <w:t xml:space="preserve"> </w:t>
                  </w:r>
                  <w:r>
                    <w:t xml:space="preserve">the right dashed line marks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lambda.1se</w:t>
                  </w:r>
                  <w:r>
                    <w:t xml:space="preserve"> </w:t>
                  </w:r>
                  <w:r>
                    <w:t xml:space="preserve">(largest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within 1 SE of the minimum).</w:t>
                  </w:r>
                </w:p>
                <w:bookmarkEnd w:id="134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5" w:name="tbl-lasso-coef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LASSO coefficients at two values of the regularization parameter.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lambda.min</w:t>
                  </w:r>
                  <w:r>
                    <w:t xml:space="preserve"> </w:t>
                  </w:r>
                  <w:r>
                    <w:t xml:space="preserve">minimizes cross-validation error;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lambda.1se</w:t>
                  </w:r>
                  <w:r>
                    <w:t xml:space="preserve"> </w:t>
                  </w:r>
                  <w:r>
                    <w:t xml:space="preserve">uses a more conservative (larger)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within one standard error of the minimum,</w:t>
                  </w:r>
                  <w:r>
                    <w:t xml:space="preserve"> </w:t>
                  </w:r>
                  <w:r>
                    <w:t xml:space="preserve">producing a sparser model.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lambda.min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(cv_lasso,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"lambda.min"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lambda.1se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(cv_lasso,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"lambda.1se"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rownames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lambda.min lambda.1se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&lt;dbl&gt;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141.        146.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0   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-0.239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 0.416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-4.70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 1.93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  -16.2        -2.84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    0.110       0</w:t>
                  </w:r>
                </w:p>
                <w:bookmarkEnd w:id="135"/>
              </w:tc>
            </w:tr>
          </w:tbl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137"/>
    <w:bookmarkEnd w:id="138"/>
    <w:bookmarkStart w:id="153" w:name="sec-pred-sel-details"/>
    <w:p>
      <w:pPr>
        <w:pStyle w:val="Heading1"/>
      </w:pPr>
      <w:r>
        <w:t xml:space="preserve">10. Some Details</w:t>
      </w:r>
    </w:p>
    <w:bookmarkStart w:id="142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4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139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</w:t>
      </w:r>
      <w:r>
        <w:t xml:space="preserve"> </w:t>
      </w:r>
      <w:hyperlink r:id="rId30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in simpler models.</w:t>
      </w:r>
      <w:r>
        <w:t xml:space="preserve"> </w:t>
      </w:r>
      <w:r>
        <w:t xml:space="preserve">The joint</w:t>
      </w:r>
      <w:r>
        <w:t xml:space="preserve"> </w:t>
      </w:r>
      <w:hyperlink r:id="rId100">
        <w:r>
          <w:rPr>
            <w:rStyle w:val="Hyperlink"/>
          </w:rPr>
          <w:t xml:space="preserve">F-test</w:t>
        </w:r>
      </w:hyperlink>
      <w:r>
        <w:t xml:space="preserve"> </w:t>
      </w:r>
      <w:r>
        <w:t xml:space="preserve">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determines whether each contributes.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</w:t>
      </w:r>
      <w:r>
        <w:t xml:space="preserve"> </w:t>
      </w:r>
      <w:hyperlink r:id="rId20">
        <w:r>
          <w:rPr>
            <w:rStyle w:val="Hyperlink"/>
          </w:rPr>
          <w:t xml:space="preserve">confounder</w:t>
        </w:r>
      </w:hyperlink>
      <w:r>
        <w:t xml:space="preserve">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141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7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4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136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141"/>
    <w:bookmarkEnd w:id="142"/>
    <w:bookmarkStart w:id="146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unusually large,</w:t>
      </w:r>
      <w:r>
        <w:t xml:space="preserve"> </w:t>
      </w:r>
      <w:r>
        <w:t xml:space="preserve">and whether</w:t>
      </w:r>
      <w:r>
        <w:t xml:space="preserve"> </w:t>
      </w:r>
      <w:hyperlink r:id="rId145">
        <w:r>
          <w:rPr>
            <w:rStyle w:val="Hyperlink"/>
          </w:rPr>
          <w:t xml:space="preserve">Wald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likelihood ratio test</w:t>
        </w:r>
      </w:hyperlink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146"/>
    <w:bookmarkStart w:id="149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149"/>
    <w:bookmarkStart w:id="152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PE measure protects against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152"/>
    <w:bookmarkEnd w:id="153"/>
    <w:bookmarkStart w:id="154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9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target PE measure</w:t>
      </w:r>
      <w:r>
        <w:t xml:space="preserve"> </w:t>
      </w:r>
      <w:r>
        <w:t xml:space="preserve">to select among models without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Shrinkage methods (</w:t>
      </w:r>
      <w:hyperlink w:anchor="sec-pred-sel-lasso">
        <w:r>
          <w:rPr>
            <w:rStyle w:val="Hyperlink"/>
          </w:rPr>
          <w:t xml:space="preserve">LASSO</w:t>
        </w:r>
      </w:hyperlink>
      <w:r>
        <w:t xml:space="preserve">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30"/>
        </w:numPr>
      </w:pPr>
      <w:r>
        <w:t xml:space="preserve">Use a DAG to identify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30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30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30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31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31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31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hyperlink w:anchor="def-collinearity">
        <w:r>
          <w:rPr>
            <w:rStyle w:val="Hyperlink"/>
          </w:rPr>
          <w:t xml:space="preserve">Collinearity</w:t>
        </w:r>
      </w:hyperlink>
      <w:r>
        <w:t xml:space="preserve"> </w:t>
      </w:r>
      <w:r>
        <w:t xml:space="preserve">between a primary predictor and a confounder</w:t>
      </w:r>
      <w:r>
        <w:t xml:space="preserve"> </w:t>
      </w:r>
      <w:r>
        <w:t xml:space="preserve">can inflate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;</w:t>
      </w:r>
      <w:r>
        <w:t xml:space="preserve"> </w:t>
      </w:r>
      <w:r>
        <w:t xml:space="preserve">between adjustment variables, it does not.</w:t>
      </w:r>
    </w:p>
    <w:p>
      <w:pPr>
        <w:pStyle w:val="Compact"/>
        <w:numPr>
          <w:ilvl w:val="0"/>
          <w:numId w:val="1032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2"/>
        </w:numPr>
      </w:pPr>
      <w:r>
        <w:t xml:space="preserve">Model selection complicates inference:</w:t>
      </w:r>
      <w:r>
        <w:t xml:space="preserve"> </w:t>
      </w:r>
      <w:r>
        <w:t xml:space="preserve">nominal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are anticonservative</w:t>
      </w:r>
      <w:r>
        <w:t xml:space="preserve"> </w:t>
      </w:r>
      <w:r>
        <w:t xml:space="preserve">when predictors have been selected from the data.</w:t>
      </w:r>
    </w:p>
    <w:bookmarkEnd w:id="154"/>
    <w:bookmarkStart w:id="155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155"/>
    <w:bookmarkStart w:id="178" w:name="references"/>
    <w:p>
      <w:pPr>
        <w:pStyle w:val="Heading1"/>
      </w:pPr>
      <w:r>
        <w:t xml:space="preserve">References</w:t>
      </w:r>
    </w:p>
    <w:bookmarkStart w:id="177" w:name="refs"/>
    <w:bookmarkStart w:id="15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6">
        <w:r>
          <w:rPr>
            <w:rStyle w:val="Hyperlink"/>
          </w:rPr>
          <w:t xml:space="preserve">https://doi.org/10.1007/978-1-4614-1353-0</w:t>
        </w:r>
      </w:hyperlink>
    </w:p>
    <w:bookmarkEnd w:id="157"/>
    <w:bookmarkStart w:id="159" w:name="ref-heinze2018variab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158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159"/>
    <w:bookmarkStart w:id="161" w:name="ref-Walter20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L. C. Walter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“Development and validation of a prognostic index for 1-year mortality in older adults after hospitalization,”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285, no. 23, pp. 2987–2994, 2001, doi:</w:t>
      </w:r>
      <w:r>
        <w:t xml:space="preserve"> </w:t>
      </w:r>
      <w:hyperlink r:id="rId160">
        <w:r>
          <w:rPr>
            <w:rStyle w:val="Hyperlink"/>
          </w:rPr>
          <w:t xml:space="preserve">10.1001/jama.285.23.2987</w:t>
        </w:r>
      </w:hyperlink>
      <w:r>
        <w:t xml:space="preserve">.</w:t>
      </w:r>
    </w:p>
    <w:bookmarkEnd w:id="161"/>
    <w:bookmarkStart w:id="163" w:name="ref-Grodstein20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F. Grodstein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135, no. 1, pp. 1–8, 2001, doi:</w:t>
      </w:r>
      <w:r>
        <w:t xml:space="preserve"> </w:t>
      </w:r>
      <w:hyperlink r:id="rId162">
        <w:r>
          <w:rPr>
            <w:rStyle w:val="Hyperlink"/>
          </w:rPr>
          <w:t xml:space="preserve">10.7326/0003-4819-135-1-200107030-00007</w:t>
        </w:r>
      </w:hyperlink>
      <w:r>
        <w:t xml:space="preserve">.</w:t>
      </w:r>
    </w:p>
    <w:bookmarkEnd w:id="163"/>
    <w:bookmarkStart w:id="164" w:name="ref-Orwoll1996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S. Orwoll, D. C. Bauer, T. M. Vogt, K. M. Fox, and S. of Osteoporotic Fractures Research Group,</w:t>
      </w:r>
      <w:r>
        <w:t xml:space="preserve"> </w:t>
      </w:r>
      <w:r>
        <w:t xml:space="preserve">“Axial bone mass in older women,”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124, no. 3, pp. 187–196, 1996.</w:t>
      </w:r>
    </w:p>
    <w:bookmarkEnd w:id="164"/>
    <w:bookmarkStart w:id="166" w:name="ref-rocke2021epi204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65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66"/>
    <w:bookmarkStart w:id="168" w:name="ref-kleinbaum2010logistic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https://link.springer.com/book/10.1007/978-1-4419-1742-3</w:t>
        </w:r>
      </w:hyperlink>
    </w:p>
    <w:bookmarkEnd w:id="168"/>
    <w:bookmarkStart w:id="170" w:name="ref-MickeyGreenland1989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M. Mickey and S. Greenland,</w:t>
      </w:r>
      <w:r>
        <w:t xml:space="preserve"> </w:t>
      </w:r>
      <w:r>
        <w:t xml:space="preserve">“The impact of confounder selection criteria on effect estimation,”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, vol. 129, no. 1, pp. 125–137, Jan. 1989, doi:</w:t>
      </w:r>
      <w:r>
        <w:t xml:space="preserve"> </w:t>
      </w:r>
      <w:hyperlink r:id="rId169">
        <w:r>
          <w:rPr>
            <w:rStyle w:val="Hyperlink"/>
          </w:rPr>
          <w:t xml:space="preserve">10.1093/oxfordjournals.aje.a115101</w:t>
        </w:r>
      </w:hyperlink>
      <w:r>
        <w:t xml:space="preserve">.</w:t>
      </w:r>
    </w:p>
    <w:bookmarkEnd w:id="170"/>
    <w:bookmarkStart w:id="172" w:name="ref-Greenland1989Model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“Modeling and variable selection in epidemiologic analysis,”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, vol. 79, no. 3, pp. 340–349, Mar. 1989, doi:</w:t>
      </w:r>
      <w:r>
        <w:t xml:space="preserve"> </w:t>
      </w:r>
      <w:hyperlink r:id="rId171">
        <w:r>
          <w:rPr>
            <w:rStyle w:val="Hyperlink"/>
          </w:rPr>
          <w:t xml:space="preserve">10.2105/AJPH.79.3.340</w:t>
        </w:r>
      </w:hyperlink>
      <w:r>
        <w:t xml:space="preserve">.</w:t>
      </w:r>
    </w:p>
    <w:bookmarkEnd w:id="172"/>
    <w:bookmarkStart w:id="173" w:name="ref-me4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73"/>
    <w:bookmarkStart w:id="174" w:name="ref-AllenCady1982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M. Allen and F. B. Cady,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Belmont, CA: Lifetime Learning Publications, 1982.</w:t>
      </w:r>
    </w:p>
    <w:bookmarkEnd w:id="174"/>
    <w:bookmarkStart w:id="176" w:name="ref-Vittinghoff2003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E. Vittinghoff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139, no. 4, pp. 274–281, 2003, doi:</w:t>
      </w:r>
      <w:r>
        <w:t xml:space="preserve"> </w:t>
      </w:r>
      <w:hyperlink r:id="rId175">
        <w:r>
          <w:rPr>
            <w:rStyle w:val="Hyperlink"/>
          </w:rPr>
          <w:t xml:space="preserve">10.7326/0003-4819-139-4-200308190-00006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4" Target="media/rId74.png" /><Relationship Type="http://schemas.openxmlformats.org/officeDocument/2006/relationships/image" Id="rId38" Target="media/rId38.png" /><Relationship Type="http://schemas.openxmlformats.org/officeDocument/2006/relationships/image" Id="rId102" Target="media/rId102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2026-10-25T03:45:31Z</dcterms:created>
  <dcterms:modified xsi:type="dcterms:W3CDTF">2026-10-25T03:45:31Z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Choosing which variables to include in a regression model</vt:lpwstr>
  </property>
  <property fmtid="{D5CDD505-2E9C-101B-9397-08002B2CF9AE}" pid="18" name="toc-title">
    <vt:lpwstr>Table of contents</vt:lpwstr>
  </property>
</Properties>
</file>