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  <Override PartName="/word/media/rId14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7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</w:t>
      </w:r>
      <w:r>
        <w:t xml:space="preserve"> </w:t>
      </w:r>
      <w:hyperlink r:id="rId10">
        <w:r>
          <w:rPr>
            <w:rStyle w:val="Hyperlink"/>
          </w:rPr>
          <w:t xml:space="preserve">Cox proportional hazards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models</w:t>
        </w:r>
      </w:hyperlink>
      <w:r>
        <w:t xml:space="preserve">.</w:t>
      </w:r>
      <w:r>
        <w:t xml:space="preserve"> </w:t>
      </w:r>
      <w:r>
        <w:t xml:space="preserve">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Nelson-Aalen estimators</w:t>
        </w:r>
      </w:hyperlink>
      <w:r>
        <w:t xml:space="preserve">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hyperlink r:id="rId13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7"/>
    <w:bookmarkStart w:id="42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km-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Kaplan-Meier and Nelson-Aalen calculations for the Part 1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surv_data)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KM_est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data.frame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hazard       =</w:t>
            </w:r>
            <w:r>
              <w:rPr>
                <w:rStyle w:val="NormalTok"/>
              </w:rPr>
              <w:t xml:space="preserve"> n.event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n.risk,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nonhazard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hazard,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cusum_hazard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cumsum</w:t>
            </w:r>
            <w:r>
              <w:rPr>
                <w:rStyle w:val="NormalTok"/>
              </w:rPr>
              <w:t xml:space="preserve">(hazard),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surv_KM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cumprod</w:t>
            </w:r>
            <w:r>
              <w:rPr>
                <w:rStyle w:val="NormalTok"/>
              </w:rPr>
              <w:t xml:space="preserve">(nonhazard),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surv_NA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cusum_hazard)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(time, n.risk, n.event, hazard, surv_KM, cusum_hazard, surv_NA)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4861"/>
              <w:tblLayout w:type="fixed"/>
              <w:tblLook w:firstRow="1" w:lastRow="0" w:firstColumn="0" w:lastColumn="0" w:noHBand="0" w:noVBand="0" w:val="0020"/>
            </w:tblPr>
            <w:tblGrid>
              <w:gridCol w:w="770"/>
              <w:gridCol w:w="990"/>
              <w:gridCol w:w="1100"/>
              <w:gridCol w:w="990"/>
              <w:gridCol w:w="1100"/>
              <w:gridCol w:w="165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n.risk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cusum_hazard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0.1173</w:t>
                  </w:r>
                </w:p>
              </w:tc>
            </w:tr>
          </w:tbl>
          <w:bookmarkEnd w:id="18"/>
          <w:p/>
        </w:tc>
      </w:tr>
    </w:tbl>
    <w:bookmarkStart w:id="24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24"/>
    <w:bookmarkStart w:id="30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 </w:t>
            </w:r>
            <w:r>
              <w:t xml:space="preserve">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, which multiplies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survival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</w:t>
            </w:r>
            <w:r>
              <w:t xml:space="preserve"> </w:t>
            </w:r>
            <w:r>
              <w:t xml:space="preserve">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30"/>
    <w:bookmarkStart w:id="33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33"/>
    <w:bookmarkStart w:id="38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</w:t>
      </w:r>
      <w:r>
        <w:rPr>
          <w:i/>
          <w:iCs/>
        </w:rPr>
        <w:t xml:space="preserve"> </w:t>
      </w:r>
      <w:hyperlink r:id="rId34">
        <w:r>
          <w:rPr>
            <w:rStyle w:val="Hyperlink"/>
            <w:i/>
            <w:iCs/>
          </w:rPr>
          <w:t xml:space="preserve">median survival time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Kaplan–Meier estimator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38"/>
    <w:bookmarkStart w:id="41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hyperlink r:id="rId23">
              <w:r>
                <w:rPr>
                  <w:rStyle w:val="Hyperlink"/>
                  <w:b/>
                  <w:bCs/>
                </w:rPr>
                <w:t xml:space="preserve">risk-set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</w:t>
            </w:r>
            <w:r>
              <w:t xml:space="preserve"> </w:t>
            </w:r>
            <w:r>
              <w:t xml:space="preserve">This mechanism is exactly what lets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41"/>
    <w:bookmarkEnd w:id="42"/>
    <w:bookmarkStart w:id="89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Cox PH regression for the WCGS CHD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8"/>
              <w:gridCol w:w="2178"/>
              <w:gridCol w:w="1584"/>
              <w:gridCol w:w="1485"/>
              <w:gridCol w:w="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 for HR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p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nonsmoker (ref.)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 smoker (</w:t>
                  </w:r>
                  <m:oMath>
                    <m:r>
                      <m:t>L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heavy smoker (</w:t>
                  </w:r>
                  <m:oMath>
                    <m:r>
                      <m:t>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(1.63, 2.91)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per decade (</w:t>
                  </w:r>
                  <m:oMath>
                    <m:r>
                      <m:t>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(1.56, 2.40)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 type A (</w:t>
                  </w:r>
                  <m:oMath>
                    <m:r>
                      <m:t>P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(1.58, 2.70)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overweight (</w:t>
                  </w:r>
                  <m:oMath>
                    <m:r>
                      <m:t>B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cholesterol (</w:t>
                  </w:r>
                  <m:oMath>
                    <m: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(1.65, 2.71)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The exam also provided the estimated</w:t>
      </w:r>
      <w:r>
        <w:t xml:space="preserve"> </w:t>
      </w:r>
      <w:hyperlink r:id="rId4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58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, omitting the</w:t>
            </w:r>
            <w:r>
              <w:t xml:space="preserve"> </w:t>
            </w:r>
            <w:hyperlink r:id="rId48">
              <w:r>
                <w:rPr>
                  <w:rStyle w:val="Hyperlink"/>
                  <w:b/>
                  <w:bCs/>
                </w:rPr>
                <w:t xml:space="preserve">likelihood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</w:t>
            </w:r>
            <w:hyperlink r:id="rId49">
              <w:r>
                <w:rPr>
                  <w:rStyle w:val="Hyperlink"/>
                  <w:b/>
                  <w:bCs/>
                </w:rPr>
                <w:t xml:space="preserve">baseline hazard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exponential”</w:t>
            </w:r>
            <w:r>
              <w:t xml:space="preserve"> </w:t>
            </w:r>
            <w:r>
              <w:t xml:space="preserve">assumption.</w:t>
            </w:r>
            <w:r>
              <w:t xml:space="preserve"> </w:t>
            </w:r>
            <w:r>
              <w:t xml:space="preserve">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</w:t>
            </w:r>
            <w:hyperlink r:id="rId50">
              <w:r>
                <w:rPr>
                  <w:rStyle w:val="Hyperlink"/>
                </w:rPr>
                <w:t xml:space="preserve">survival</w:t>
              </w:r>
            </w:hyperlink>
            <w:r>
              <w:t xml:space="preserve">,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,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,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3">
              <w:r>
                <w:rPr>
                  <w:rStyle w:val="Hyperlink"/>
                  <w:b/>
                  <w:bCs/>
                  <w:i/>
                  <w:iCs/>
                </w:rPr>
                <w:t xml:space="preserve">Independent</w:t>
              </w:r>
            </w:hyperlink>
            <w:r>
              <w:rPr>
                <w:b/>
                <w:bCs/>
                <w:i/>
                <w:iCs/>
              </w:rPr>
              <w:t xml:space="preserve">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hyperlink r:id="rId54">
              <w:r>
                <w:rPr>
                  <w:rStyle w:val="Hyperlink"/>
                  <w:b/>
                  <w:bCs/>
                  <w:i/>
                  <w:iCs/>
                </w:rPr>
                <w:t xml:space="preserve">Non-informative censoring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5">
              <w:r>
                <w:rPr>
                  <w:rStyle w:val="Hyperlink"/>
                  <w:b/>
                  <w:bCs/>
                  <w:i/>
                  <w:iCs/>
                </w:rPr>
                <w:t xml:space="preserve">Proportional-hazards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</w:t>
            </w:r>
            <w:hyperlink r:id="rId56">
              <w:r>
                <w:rPr>
                  <w:rStyle w:val="Hyperlink"/>
                  <w:b/>
                  <w:bCs/>
                  <w:i/>
                  <w:iCs/>
                </w:rPr>
                <w:t xml:space="preserve">link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58"/>
    <w:bookmarkStart w:id="67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hyperlink r:id="rId61">
              <w:r>
                <w:rPr>
                  <w:rStyle w:val="Hyperlink"/>
                  <w:b/>
                  <w:bCs/>
                </w:rPr>
                <w:t xml:space="preserve">statistical significance</w:t>
              </w:r>
            </w:hyperlink>
            <w:r>
              <w:t xml:space="preserve"> </w:t>
            </w:r>
            <w:r>
              <w:t xml:space="preserve">(whether the 95%</w:t>
            </w:r>
            <w:r>
              <w:t xml:space="preserve"> </w:t>
            </w:r>
            <w:hyperlink r:id="rId62">
              <w:r>
                <w:rPr>
                  <w:rStyle w:val="Hyperlink"/>
                </w:rPr>
                <w:t xml:space="preserve">CI</w:t>
              </w:r>
            </w:hyperlink>
            <w:r>
              <w:t xml:space="preserve"> </w:t>
            </w:r>
            <w:r>
              <w:t xml:space="preserve">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hyperlink r:id="rId64">
              <w:r>
                <w:rPr>
                  <w:rStyle w:val="Hyperlink"/>
                  <w:b/>
                  <w:bCs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</w:t>
            </w:r>
            <w:r>
              <w:t xml:space="preserve"> </w:t>
            </w:r>
            <w:hyperlink r:id="rId66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</w:t>
            </w:r>
            <w:r>
              <w:t xml:space="preserve"> </w:t>
            </w:r>
            <w:r>
              <w:t xml:space="preserve">this hazard ratio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</w:t>
            </w:r>
            <w:r>
              <w:t xml:space="preserve"> </w:t>
            </w:r>
            <w:r>
              <w:t xml:space="preserve">this hazard ratio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67"/>
    <w:bookmarkStart w:id="70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70"/>
    <w:bookmarkStart w:id="84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</w:t>
      </w:r>
      <w:r>
        <w:rPr>
          <w:i/>
          <w:iCs/>
        </w:rPr>
        <w:t xml:space="preserve"> </w:t>
      </w:r>
      <w:r>
        <w:rPr>
          <w:i/>
          <w:iCs/>
        </w:rPr>
        <w:t xml:space="preserve">compute the</w:t>
      </w:r>
      <w:r>
        <w:rPr>
          <w:i/>
          <w:iCs/>
        </w:rPr>
        <w:t xml:space="preserve"> </w:t>
      </w:r>
      <w:hyperlink r:id="rId71">
        <w:r>
          <w:rPr>
            <w:rStyle w:val="Hyperlink"/>
            <w:i/>
            <w:iCs/>
          </w:rPr>
          <w:t xml:space="preserve">z-statistic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two-sided</w:t>
      </w:r>
      <w:r>
        <w:rPr>
          <w:i/>
          <w:iCs/>
        </w:rPr>
        <w:t xml:space="preserve"> </w:t>
      </w:r>
      <w:hyperlink r:id="rId72">
        <w:r>
          <w:rPr>
            <w:rStyle w:val="Hyperlink"/>
            <w:i/>
            <w:iCs/>
          </w:rPr>
          <w:t xml:space="preserve">p-value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</w:t>
            </w:r>
            <w:r>
              <w:rPr>
                <w:b/>
                <w:bCs/>
              </w:rPr>
              <w:t xml:space="preserve"> </w:t>
            </w:r>
            <w:hyperlink r:id="rId76">
              <w:r>
                <w:rPr>
                  <w:rStyle w:val="Hyperlink"/>
                  <w:b/>
                  <w:bCs/>
                </w:rPr>
                <w:t xml:space="preserve">covariance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variance-of-a-difference formula</w:t>
              </w:r>
            </w:hyperlink>
            <w:r>
              <w:t xml:space="preserve"> </w:t>
            </w:r>
            <w:r>
              <w:t xml:space="preserve">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normal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significantly</w:t>
              </w:r>
            </w:hyperlink>
            <w:r>
              <w:t xml:space="preserve"> </w:t>
            </w:r>
            <w:r>
              <w:t xml:space="preserve">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hyperlink r:id="rId83">
                    <w:r>
                      <w:rPr>
                        <w:rStyle w:val="Hyperlink"/>
                      </w:rPr>
                      <w:t xml:space="preserve">correlated</w:t>
                    </w:r>
                  </w:hyperlink>
                  <w:r>
                    <w:t xml:space="preserve">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84"/>
    <w:bookmarkStart w:id="88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</w:t>
      </w:r>
      <w:r>
        <w:rPr>
          <w:i/>
          <w:iCs/>
        </w:rPr>
        <w:t xml:space="preserve"> </w:t>
      </w:r>
      <w:hyperlink r:id="rId62">
        <w:r>
          <w:rPr>
            <w:rStyle w:val="Hyperlink"/>
            <w:i/>
            <w:iCs/>
          </w:rPr>
          <w:t xml:space="preserve">confidence interval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the</w:t>
      </w:r>
      <w:r>
        <w:rPr>
          <w:i/>
          <w:iCs/>
        </w:rPr>
        <w:t xml:space="preserve"> </w:t>
      </w:r>
      <w:hyperlink r:id="rId63">
        <w:r>
          <w:rPr>
            <w:rStyle w:val="Hyperlink"/>
            <w:i/>
            <w:iCs/>
          </w:rPr>
          <w:t xml:space="preserve">hazard ratio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88"/>
    <w:bookmarkEnd w:id="89"/>
    <w:bookmarkStart w:id="90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0" Target="media/rId80.png" /><Relationship Type="http://schemas.openxmlformats.org/officeDocument/2006/relationships/image" Id="rId14" Target="media/rId14.png" /><Relationship Type="http://schemas.openxmlformats.org/officeDocument/2006/relationships/image" Id="rId19" Target="media/rId19.png" /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2026-10-15T10:42:59Z</dcterms:created>
  <dcterms:modified xsi:type="dcterms:W3CDTF">2026-10-15T10:42:59Z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