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70.png" ContentType="image/png"/>
  <Override PartName="/word/media/rId140.png" ContentType="image/png"/>
  <Override PartName="/word/media/rId180.png" ContentType="image/png"/>
  <Override PartName="/word/media/rId193.png" ContentType="image/png"/>
  <Override PartName="/word/media/rId189.png" ContentType="image/png"/>
  <Override PartName="/word/media/rId51.png" ContentType="image/png"/>
  <Override PartName="/word/media/rId47.png" ContentType="image/png"/>
  <Override PartName="/word/media/rId144.png" ContentType="image/png"/>
  <Override PartName="/word/media/rId119.png" ContentType="image/png"/>
  <Override PartName="/word/media/rId129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(countable additivity for partition of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5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80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the disjoint union of events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for all non-negative integers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 the Poisson PMF (</w:t>
            </w:r>
            <w:hyperlink w:anchor="eq-pois-pm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) and factoring out the common term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disjoint union of events 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factoring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r>
                        <m:rPr>
                          <m:nor/>
                          <m:sty m:val="p"/>
                        </m:rPr>
                        <m:t> constant wrt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cdf-pois"/>
          <w:p>
            <w:pPr>
              <w:pStyle w:val="BodyText"/>
            </w:pPr>
            <w:r>
              <w:rPr>
                <w:b/>
                <w:bCs/>
              </w:rPr>
              <w:t xml:space="preserve">Example 3 (Example: Computing Poisson cumulative probabilities)</w:t>
            </w:r>
            <w:r>
              <w:t xml:space="preserve"> </w:t>
            </w:r>
            <w:r>
              <w:t xml:space="preserve">For a Poisson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observing at most 2 events is computed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2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CDF formula with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0</m:t>
                                  </m:r>
                                </m:sup>
                              </m:sSup>
                            </m:num>
                            <m:den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1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expand terms for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 factorials and powers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≈</m:t>
                      </m:r>
                      <m:r>
                        <m:t>0.677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numerical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46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5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expected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separate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nor/>
                          <m:sty m:val="p"/>
                        </m:rPr>
                        <m:t> term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factorial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cancel factor of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one power of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change index variable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PMF sums to 1 over state space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bookmarkStart w:id="79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2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2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This mathematical relationship between mean and exposure magnitude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3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bookmarkEnd w:id="64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5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λ</m:t>
                      </m:r>
                    </m:e>
                    <m:e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t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event rate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  <m:r>
                        <m:t>e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  <m:r>
                        <m:t>v</m:t>
                      </m:r>
                      <m:r>
                        <m:t>e</m:t>
                      </m:r>
                      <m:r>
                        <m:t>n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multiply both sides by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mean-vs-event-rate"/>
          <w:p>
            <w:pPr>
              <w:pStyle w:val="BodyText"/>
            </w:pPr>
            <w:r>
              <w:rPr>
                <w:b/>
                <w:bCs/>
              </w:rPr>
              <w:t xml:space="preserve">Example 4 (Example: Calculating expected counts from event rates)</w:t>
            </w:r>
            <w:r>
              <w:t xml:space="preserve"> </w:t>
            </w:r>
            <w:r>
              <w:t xml:space="preserve">Suppose a city records a disease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cases per person-year.</w:t>
            </w:r>
            <w:r>
              <w:t xml:space="preserve"> </w:t>
            </w:r>
            <w:r>
              <w:t xml:space="preserve">For a subpopulation with an exposure magnitude of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count of cases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formula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nor/>
                          <m:sty m:val="p"/>
                        </m:rPr>
                        <m:t> and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100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nor/>
                          <m:sty m:val="p"/>
                        </m:rPr>
                        <m:t> cases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expected count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6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nor/>
                          <m:sty m:val="p"/>
                        </m:rPr>
                        <m:t> at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multiplication by zero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non-exposed"/>
          <w:p>
            <w:pPr>
              <w:pStyle w:val="BodyText"/>
            </w:pPr>
            <w:r>
              <w:rPr>
                <w:b/>
                <w:bCs/>
              </w:rPr>
              <w:t xml:space="preserve">Example 5 (Example: Zero exposure time)</w:t>
            </w:r>
            <w:r>
              <w:t xml:space="preserve"> </w:t>
            </w:r>
            <w:r>
              <w:t xml:space="preserve">If a subject is observed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no follow-up time has elapsed,</w:t>
            </w:r>
            <w:r>
              <w:t xml:space="preserve"> </w:t>
            </w:r>
            <w:r>
              <w:t xml:space="preserve">so the expected number of incident events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6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nor/>
                          <m:sty m:val="p"/>
                        </m:rPr>
                        <m:t> from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logarithm product rule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exposure-log-scale"/>
          <w:p>
            <w:pPr>
              <w:pStyle w:val="BodyText"/>
            </w:pPr>
            <w:r>
              <w:rPr>
                <w:b/>
                <w:bCs/>
              </w:rPr>
              <w:t xml:space="preserve">Example 6 (Example: Log-linear representation of expected counts)</w:t>
            </w:r>
            <w:r>
              <w:t xml:space="preserve"> </w:t>
            </w:r>
            <w:r>
              <w:t xml:space="preserve">If a clinic sees an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events/day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 </w:t>
            </w:r>
            <w:r>
              <w:t xml:space="preserve">days of observation: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0.02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log-scale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3.912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3.401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natural logarithms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0.511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sum terms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Exponentiating yields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0.511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0.60</m:t>
              </m:r>
            </m:oMath>
            <w:r>
              <w:t xml:space="preserve"> </w:t>
            </w:r>
            <w:r>
              <w:t xml:space="preserve">expected events.</w:t>
            </w:r>
          </w:p>
          <w:bookmarkEnd w:id="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probability-generating function or PMF convolution for independent non-negative integer random variables: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independence and convolution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bSup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  <m:sup>
                                  <m:r>
                                    <m:t>k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sup>
                              </m:sSup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</m:sup>
                          </m:sSub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</m:sup>
                          </m:sSup>
                        </m:num>
                        <m:den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nor/>
                          <m:sty m:val="p"/>
                        </m:rPr>
                        <m:t> and multiply by 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z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binomial theorem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probability expression matches the PMF of a</w:t>
            </w:r>
            <w:r>
              <w:t xml:space="preserve"> </w:t>
            </w:r>
            <m:oMath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w:r>
              <w:t xml:space="preserve">(see also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sum-pois"/>
          <w:p>
            <w:pPr>
              <w:pStyle w:val="BodyText"/>
            </w:pPr>
            <w:r>
              <w:rPr>
                <w:b/>
                <w:bCs/>
              </w:rPr>
              <w:t xml:space="preserve">Example 7 (Example: Aggregating independent region counts)</w:t>
            </w:r>
            <w:r>
              <w:t xml:space="preserve"> </w:t>
            </w:r>
            <w:r>
              <w:t xml:space="preserve">Suppose Region A records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</w:t>
            </w:r>
            <w:r>
              <w:t xml:space="preserve"> </w:t>
            </w:r>
            <w:r>
              <w:t xml:space="preserve">and Region B records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 independently.</w:t>
            </w:r>
            <w:r>
              <w:t xml:space="preserve"> </w:t>
            </w:r>
            <w:r>
              <w:t xml:space="preserve">The combined total count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follows a Poisson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∼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sum theorem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t</m:t>
                      </m:r>
                      <m:r>
                        <m:t>h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  <m:r>
                        <m:t>u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r>
                        <m:t>o</m:t>
                      </m:r>
                      <m:r>
                        <m:t>i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region means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sum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78"/>
          <w:p/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3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81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82"/>
        </w:tc>
      </w:tr>
    </w:tbl>
    <w:bookmarkEnd w:id="83"/>
    <w:bookmarkStart w:id="84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the Weibull distribution reduces to the exponential distribution.</w:t>
      </w:r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</w:t>
      </w:r>
      <w:r>
        <w:t xml:space="preserve"> </w:t>
      </w:r>
      <w:r>
        <w:t xml:space="preserve">This property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84"/>
    <w:bookmarkEnd w:id="85"/>
    <w:bookmarkStart w:id="198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92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91"/>
        </w:tc>
      </w:tr>
    </w:tbl>
    <w:bookmarkEnd w:id="92"/>
    <w:bookmarkStart w:id="98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4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98"/>
    <w:bookmarkStart w:id="124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(range of Bernoulli r.v. is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sum over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Bernoulli PMF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0 and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(addition of 0)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10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(condition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condition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r>
              <w:t xml:space="preserve">(Soch 2020)</w:t>
            </w:r>
            <w:r>
              <w:t xml:space="preserve"> </w:t>
            </w:r>
            <w:r>
              <w:t xml:space="preserve">for an alternative presentation of this proof.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8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(substitution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in probability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x</m:t>
                    </m:r>
                    <m:r>
                      <m:rPr>
                        <m:sty m:val="p"/>
                      </m:rPr>
                      <m:t>: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double sum grouping by 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9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10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bookmarkStart w:id="123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11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0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1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12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1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13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1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4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14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6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specifically,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15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22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23"/>
    <w:bookmarkEnd w:id="124"/>
    <w:bookmarkStart w:id="153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6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103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condition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103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condition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16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17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following calculation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calculation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18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7"/>
              </w:tc>
            </w:tr>
          </w:tbl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condition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7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7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condition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expression is valid — unlike in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Fubini–Tonelli justification is required because the sum is infinite rather than finite.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condition (b)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theorem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identity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19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52"/>
        </w:tc>
      </w:tr>
    </w:tbl>
    <w:p>
      <w:r>
        <w:pict>
          <v:rect style="width:0;height:1.5pt" o:hralign="center" o:hrstd="t" o:hr="t"/>
        </w:pict>
      </w:r>
    </w:p>
    <w:bookmarkEnd w:id="153"/>
    <w:bookmarkStart w:id="161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8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9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60"/>
        </w:tc>
      </w:tr>
    </w:tbl>
    <w:bookmarkEnd w:id="161"/>
    <w:bookmarkStart w:id="188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2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variance)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deviation from mean)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(expand binomial square)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(linearity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(constants factor out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(algebraic simplification)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2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 and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3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7"/>
        </w:tc>
      </w:tr>
    </w:tbl>
    <w:bookmarkEnd w:id="188"/>
    <w:bookmarkStart w:id="197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92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6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7"/>
    <w:bookmarkEnd w:id="198"/>
    <w:bookmarkStart w:id="199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9"/>
    <w:bookmarkStart w:id="223" w:name="references"/>
    <w:p>
      <w:pPr>
        <w:pStyle w:val="Heading1"/>
      </w:pPr>
      <w:r>
        <w:t xml:space="preserve">References</w:t>
      </w:r>
    </w:p>
    <w:bookmarkStart w:id="222" w:name="refs"/>
    <w:bookmarkStart w:id="20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00"/>
    <w:bookmarkStart w:id="2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02"/>
    <w:bookmarkStart w:id="2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4"/>
    <w:bookmarkStart w:id="20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6"/>
    <w:bookmarkStart w:id="207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7"/>
    <w:bookmarkStart w:id="209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8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9"/>
    <w:bookmarkStart w:id="21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1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11"/>
    <w:bookmarkStart w:id="213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2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13"/>
    <w:bookmarkStart w:id="21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14"/>
    <w:bookmarkStart w:id="2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5"/>
    <w:bookmarkStart w:id="21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21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217"/>
    <w:bookmarkStart w:id="21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9"/>
    <w:bookmarkStart w:id="22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21"/>
    <w:bookmarkEnd w:id="222"/>
    <w:bookmarkEnd w:id="2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70" Target="media/rId70.png" /><Relationship Type="http://schemas.openxmlformats.org/officeDocument/2006/relationships/image" Id="rId140" Target="media/rId140.png" /><Relationship Type="http://schemas.openxmlformats.org/officeDocument/2006/relationships/image" Id="rId180" Target="media/rId180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144" Target="media/rId144.png" /><Relationship Type="http://schemas.openxmlformats.org/officeDocument/2006/relationships/image" Id="rId119" Target="media/rId119.png" /><Relationship Type="http://schemas.openxmlformats.org/officeDocument/2006/relationships/image" Id="rId129" Target="media/rId129.png" /><Relationship Type="http://schemas.openxmlformats.org/officeDocument/2006/relationships/image" Id="rId134" Target="media/rId134.png" /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8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216" Target="https://doi.org/10.5281/zenodo.4305949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20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8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216" Target="https://doi.org/10.5281/zenodo.4305949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20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2026-09-28T02:14:21Z</dcterms:created>
  <dcterms:modified xsi:type="dcterms:W3CDTF">2026-09-28T02:14:21Z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