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" w:name="tbl-km-n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Kaplan-Meier and Nelson-Aalen calculations for the Part 1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KM_est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surv_data)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KM_est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data.frame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      =</w:t>
                  </w:r>
                  <w:r>
                    <w:rPr>
                      <w:rStyle w:val="NormalTok"/>
                    </w:rPr>
                    <w:t xml:space="preserve"> n.event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n.risk,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nonhazard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surv_KM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(nonhazard),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surv_NA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(time, n.risk, n.event, hazard, surv_KM, cusum_hazard, surv_NA)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86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770"/>
                    <w:gridCol w:w="990"/>
                    <w:gridCol w:w="1100"/>
                    <w:gridCol w:w="990"/>
                    <w:gridCol w:w="1100"/>
                    <w:gridCol w:w="1650"/>
                    <w:gridCol w:w="110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surv_KM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cusum_hazard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surv_NA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0.8669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0.3333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0.1173</w:t>
                        </w:r>
                      </w:p>
                    </w:tc>
                  </w:tr>
                </w:tbl>
                <w:bookmarkEnd w:id="18"/>
                <w:p/>
              </w:tc>
            </w:tr>
          </w:tbl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Cox PH regression for the WCGS CHD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78"/>
                    <w:gridCol w:w="2178"/>
                    <w:gridCol w:w="1584"/>
                    <w:gridCol w:w="1485"/>
                    <w:gridCol w:w="49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Characteristic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 for 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p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nonsmoker (ref.)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light smoker (</w:t>
                        </w:r>
                        <m:oMath>
                          <m:r>
                            <m:t>L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heavy smoker (</w:t>
                        </w:r>
                        <m:oMath>
                          <m:r>
                            <m:t>H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(1.63, 2.91)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per decade (</w:t>
                        </w:r>
                        <m:oMath>
                          <m:r>
                            <m:t>A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(1.56, 2.40)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behavior type A (</w:t>
                        </w:r>
                        <m:oMath>
                          <m:r>
                            <m:t>P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(1.58, 2.70)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overweight (</w:t>
                        </w:r>
                        <m:oMath>
                          <m:r>
                            <m:t>B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 cholesterol (</w:t>
                        </w:r>
                        <m:oMath>
                          <m:r>
                            <m:t>C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(1.65, 2.71)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</w:tbl>
                <w:bookmarkEnd w:id="43"/>
                <w:p/>
              </w:tc>
            </w:tr>
          </w:tbl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2026-10-27T20:44:10Z</dcterms:created>
  <dcterms:modified xsi:type="dcterms:W3CDTF">2026-10-27T20:44:10Z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