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</w:t>
      </w:r>
      <w:r>
        <w:t xml:space="preserve"> </w:t>
      </w:r>
      <w:hyperlink r:id="rId9">
        <w:r>
          <w:rPr>
            <w:rStyle w:val="Hyperlink"/>
          </w:rPr>
          <w:t xml:space="preserve">results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</w:t>
      </w:r>
      <w:r>
        <w:t xml:space="preserve"> </w:t>
      </w:r>
      <w:hyperlink r:id="rId1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271 labeled definitions and results in the notes,</w:t>
      </w:r>
      <w:r>
        <w:t xml:space="preserve"> </w:t>
      </w:r>
      <w:r>
        <w:t xml:space="preserve">connected by 129 direct dependency links.</w:t>
      </w:r>
    </w:p>
    <w:bookmarkEnd w:id="11"/>
    <w:bookmarkStart w:id="13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2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3"/>
    <w:bookmarkStart w:id="15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" w:name="tbl-descenda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All results with at least one descendant,</w:t>
                  </w:r>
                  <w:r>
                    <w:t xml:space="preserve"> </w:t>
                  </w:r>
                  <w:r>
                    <w:t xml:space="preserve">sorted by number of total descendants (most-foundational first).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ranked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cg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nodes[cg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nodes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n_desc </w:t>
                  </w:r>
                  <w:r>
                    <w:rPr>
                      <w:rStyle w:val="SpecialCharTok"/>
                    </w:rPr>
                    <w:t xml:space="preserve">&gt;=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ranked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ranked[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n_desc,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id),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descendant_table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Result               =</w:t>
                  </w:r>
                  <w:r>
                    <w:rPr>
                      <w:rStyle w:val="NormalTok"/>
                    </w:rPr>
                    <w:t xml:space="preserve">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title,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                =</w:t>
                  </w:r>
                  <w:r>
                    <w:rPr>
                      <w:rStyle w:val="NormalTok"/>
                    </w:rPr>
                    <w:t xml:space="preserve"> type_labels[ranked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type],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Direct descendants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n_direct,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Total descendants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n_desc,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check.names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stringsAsFactors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(descendant_table, </w:t>
                  </w:r>
                  <w:r>
                    <w:rPr>
                      <w:rStyle w:val="AttributeTok"/>
                    </w:rPr>
                    <w:t xml:space="preserve">format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"pipe"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align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"llrr"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464"/>
                    <w:gridCol w:w="792"/>
                    <w:gridCol w:w="1368"/>
                    <w:gridCol w:w="129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Result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Direct descendants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Total descendants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as a function of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Potential 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Probability as a function of 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Causal marginal 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by 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Conditional predicted 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logit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odds w.r.t.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by 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First-order interval failure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One-way random-effects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Risk-set score 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Causal marginal risk under identification assumptions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by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G-computation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Hazard function, hazard rate, hazard rate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odds in terms of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inverse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Proportional-hazards decomposition of the 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expit, logistic, inverse-logit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inverse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Proportional-hazards first-order interval failure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Cox proportional hazards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Point-mass optimality of the profile baseline 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probability w.r.t.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Marginal risk as a conditional expectation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via the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Corollary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Cox-Snell generalized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Leverage for a GLM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Observed marginal 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Pearson residual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Cox PH partial likelihood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Risk Score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with respect to coefficients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Simplified expression for inverse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from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One minus inverse-odds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Profile likelihood in terms of point masses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Single-subject failure probability in a risk set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Consistency of g-computation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Inverse-odds function inverts the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Corollary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Akaike Information Criterion (AIC)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Collapsibility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conditional 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Deviation of an observation from its subpopulation 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in covariate patterns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in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Estimated Risk Score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Hat 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Per-interval likelihood factor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Martingale Residual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Predicted value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Risk Set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Relative risk ratios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Standardized Pearson residual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Censored-data likelihood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in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of log-hazards between two covariate patterns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General formula for odds ratios in logistic regression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Profile maximum likelihood estimate of each point 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 whether-a-failure-occurs factor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 discretization of the survival factor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Expected mean squares in the one-way random-effects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Expressions for expit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Expanded expression for logit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Log-odds as a function of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ratios are reversible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Probability as a function of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Moments of the one-way random-effects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Mean and variance of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14"/>
                <w:p/>
              </w:tc>
            </w:tr>
          </w:tbl>
        </w:tc>
      </w:tr>
    </w:tbl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2026-10-28T20:38:35Z</dcterms:created>
  <dcterms:modified xsi:type="dcterms:W3CDTF">2026-10-28T20:38:35Z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