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[1, Ch. 10]</w:t>
      </w:r>
    </w:p>
    <w:p>
      <w:pPr>
        <w:pStyle w:val="Compact"/>
        <w:numPr>
          <w:ilvl w:val="0"/>
          <w:numId w:val="1001"/>
        </w:numPr>
      </w:pPr>
      <w:r>
        <w:t xml:space="preserve">[2]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[1, Ch. 10]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[1, Ch. 10]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[3]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[4]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[5]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overfit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Numerical example showing overfitting:</w:t>
                  </w:r>
                  <w:r>
                    <w:t xml:space="preserve"> </w:t>
                  </w:r>
                  <w:r>
                    <w:t xml:space="preserve">lower training error but worse validation error.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n_noise_predictors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hers_base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(hers_base)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idx_overfit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sample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(n_overfit),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floor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n_overfit))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train_overfit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hers_base[idx_overfit,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valid_overfit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idx_overfit,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(j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zname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j)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train_overfit[[zname]]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valid_overfit[[zname]]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model_parsimonious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noise_terms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overfit_formula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reformulate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 noise_terms), 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overfit_formula,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rmse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(y, yhat)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((y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yhat)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"Parsimonious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"Overfit model (+"</w:t>
                  </w:r>
                  <w:r>
                    <w:rPr>
                      <w:rStyle w:val="NormalTok"/>
                    </w:rPr>
                    <w:t xml:space="preserve">, n_noise_predictors, </w:t>
                  </w:r>
                  <w:r>
                    <w:rPr>
                      <w:rStyle w:val="StringTok"/>
                    </w:rPr>
                    <w:t xml:space="preserve">" noise predictors)"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Training_sRMSE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Validation_sRMSE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(Training_sRMSE, Validation_sRMSE),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(.x,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Parsimonious model                             37.0             36.7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Overfit model (+20 noise predictors)           36.9             37.0</w:t>
                  </w:r>
                </w:p>
                <w:bookmarkEnd w:id="50"/>
              </w:tc>
            </w:tr>
          </w:tbl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  <w:p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[7, Ch. 8], pp. 194–212, [1, Ch. 10], pp. 257–275, [8, p. 125], [9, p. 340]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[1]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[7, Ch. 8]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tbl-wcgs-10p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10% change-in-estimate rule applied to the WCGS data.</w:t>
                  </w:r>
                  <w:r>
                    <w:t xml:space="preserve"> </w:t>
                  </w:r>
                  <w:r>
                    <w:t xml:space="preserve">The Type A coefficient from the full model</w:t>
                  </w:r>
                  <w:r>
                    <w:t xml:space="preserve"> </w:t>
                  </w:r>
                  <w:r>
                    <w:t xml:space="preserve">is compared with coefficients from models that drop one confounder at a time.</w:t>
                  </w:r>
                  <w:r>
                    <w:t xml:space="preserve"> </w:t>
                  </w:r>
                  <w:r>
                    <w:t xml:space="preserve">A percentage change exceeding 10% indicates meaningful confounding.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results_df,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variable"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(full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(reduced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"Meaningful confounder?"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41"/>
                    <w:gridCol w:w="1448"/>
                    <w:gridCol w:w="1738"/>
                    <w:gridCol w:w="869"/>
                    <w:gridCol w:w="22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(full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(reduced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Meaningful confounder?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0.7303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smoke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0.7031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</w:tbl>
                <w:bookmarkEnd w:id="77"/>
                <w:p/>
              </w:tc>
            </w:tr>
          </w:tbl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" w:name="tbl-wcgs-10pct-bw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Backward elimination under the 10% change-in-estimate rule,</w:t>
                  </w:r>
                  <w:r>
                    <w:t xml:space="preserve"> </w:t>
                  </w:r>
                  <w:r>
                    <w:t xml:space="preserve">with standard-error reduction</w:t>
                  </w:r>
                  <w:r>
                    <w:t xml:space="preserve"> </w:t>
                  </w:r>
                  <w:r>
                    <w:t xml:space="preserve">used to choose among eligible drops.</w:t>
                  </w:r>
                  <w:r>
                    <w:t xml:space="preserve"> </w:t>
                  </w:r>
                  <w:r>
                    <w:t xml:space="preserve">The reference for the percent-change criterion</w:t>
                  </w:r>
                  <w:r>
                    <w:t xml:space="preserve"> </w:t>
                  </w:r>
                  <w:r>
                    <w:t xml:space="preserve">is always the Type A coefficient in the original full model.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bwe_steps_df,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"Step"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covariate"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 from full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before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after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reduction"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0"/>
                    <w:gridCol w:w="1584"/>
                    <w:gridCol w:w="2200"/>
                    <w:gridCol w:w="1320"/>
                    <w:gridCol w:w="1232"/>
                    <w:gridCol w:w="11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Step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covariate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 from full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before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after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reduction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0.0008</w:t>
                        </w:r>
                      </w:p>
                    </w:tc>
                  </w:tr>
                </w:tbl>
                <w:bookmarkEnd w:id="78"/>
                <w:p/>
              </w:tc>
            </w:tr>
          </w:tbl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[1, Ch. 10], pp. 257–275</w:t>
      </w:r>
      <w:r>
        <w:t xml:space="preserve">,</w:t>
      </w:r>
      <w:r>
        <w:t xml:space="preserve"> </w:t>
      </w:r>
      <w:r>
        <w:t xml:space="preserve">Kleinbaum and Klein [7, Ch. 6–8]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[10, Ch. 21], section</w:t>
      </w:r>
      <w:r>
        <w:t xml:space="preserve"> </w:t>
      </w:r>
      <w:r>
        <w:t xml:space="preserve">“Model Selection”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[11]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[12]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[2]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model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Comparison of LDL models by AIC, BIC, and adjusted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models_ldl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only"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 + BMI + diabetes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"Full model"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smoking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SBP,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(models_ldl),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AIC),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BIC),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Adj_R2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models_ldl,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(m)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(m)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adj.r.squared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5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  AIC    BIC    Adj_R2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&lt;dbl&gt; 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HT only                             27807. 27825. -0.000341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HT + age                            27802. 27826.  0.00202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HT + statins                        27681. 27704.  0.0451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HT + age + BMI + diabetes + statins 27617. 27658.  0.0511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Full model                          27609. 27662.  0.0545</w:t>
                  </w:r>
                </w:p>
                <w:bookmarkEnd w:id="116"/>
              </w:tc>
            </w:tr>
          </w:tbl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w:r>
              <w:t xml:space="preserve">$\mathord{\smash[b]{\underset{\raise.3ex\hbox{$\scriptstyle\sim$}}{\beta}}\vphantom{\beta}}= {(\beta_1, \dots, \beta_p)}^{\top}$</w:t>
            </w:r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w:r>
              <w:t xml:space="preserve">$$
    \hat{\mathord{\smash[b]{\underset{\raise.3ex\hbox{$\scriptstyle\sim$}}{\beta}}\vphantom{\beta}}}_\lambda \stackrel{\text{def}}{=}\arg\max_{\mathord{\smash[b]{\underset{\raise.3ex\hbox{$\scriptstyle\sim$}}{\beta}}\vphantom{\beta}}} {\mathopen{}\left\{
    \ell(\mathord{\smash[b]{\underset{\raise.3ex\hbox{$\scriptstyle\sim$}}{\beta}}\vphantom{\beta}}) - \lambda \sum_{j=1}^p \mathopen{}\left|\beta_j\right|\mathclose{}
    \right\}\mathclose{}}
     \qquad(1)$$</w:t>
            </w:r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w:r>
        <w:t xml:space="preserve">$\hat{\mathord{\smash[b]{\underset{\raise.3ex\hbox{$\scriptstyle\sim$}}{\beta}}\vphantom{\beta}}}_0$</w:t>
      </w:r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 over the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lasso-ldl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(glmnet)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hers_ldl_complete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statins, SBP)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hers_ldl_complete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hers_ldl_complete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LDL)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(HT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statins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diabetes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(diabetes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smoking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(smoking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as.matrix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lasso_fit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(lasso_fit, </w:t>
                  </w:r>
                  <w:r>
                    <w:rPr>
                      <w:rStyle w:val="AttributeTok"/>
                    </w:rPr>
                    <w:t xml:space="preserve">xvar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4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LASSO coefficient paths for LDL predictors in HERS.</w:t>
                  </w:r>
                  <w:r>
                    <w:t xml:space="preserve"> </w:t>
                  </w:r>
                  <w:r>
                    <w:t xml:space="preserve">Each line traces one predictor’s coefficient as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increases.</w:t>
                  </w:r>
                  <w:r>
                    <w:t xml:space="preserve"> </w:t>
                  </w:r>
                  <w:r>
                    <w:t xml:space="preserve">Coefficients shrink toward zero as the penalty grows;</w:t>
                  </w:r>
                  <w:r>
                    <w:t xml:space="preserve"> </w:t>
                  </w:r>
                  <w:r>
                    <w:t xml:space="preserve">some reach exactly zero (variables excluded from the model).</w:t>
                  </w:r>
                </w:p>
                <w:bookmarkEnd w:id="13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fig-lasso-cv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cv_lasso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cv.glmnet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(cv_lasso)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5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Cross-validated LASSO for LDL: mean squared error vs. 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left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(minimum CV error);</w:t>
                  </w:r>
                  <w:r>
                    <w:t xml:space="preserve"> </w:t>
                  </w:r>
                  <w:r>
                    <w:t xml:space="preserve">the right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(largest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within 1 SE of the minimum).</w:t>
                  </w:r>
                </w:p>
                <w:bookmarkEnd w:id="13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lasso-coef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LASSO coefficients at two values of the regularization parameter.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minimizes cross-validation error;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uses a more conservative (larger)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within one standard error of the minimum,</w:t>
                  </w:r>
                  <w:r>
                    <w:t xml:space="preserve"> </w:t>
                  </w:r>
                  <w:r>
                    <w:t xml:space="preserve">producing a sparser model.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"lambda.min"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lambda.1se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"lambda.1se"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lambda.min lambda.1se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&lt;dbl&gt;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141.        146.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0   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-0.239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0.416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-4.70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1.93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  -16.2        -2.84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    0.110       0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</w:p>
    <w:bookmarkEnd w:id="157"/>
    <w:bookmarkStart w:id="159" w:name="ref-heinze2018variab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15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159"/>
    <w:bookmarkStart w:id="161" w:name="ref-Walter20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L. C. Walter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“Development and validation of a prognostic index for 1-year mortality in older adults after hospitalization,”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285, no. 23, pp. 2987–2994, 2001, doi:</w:t>
      </w:r>
      <w:r>
        <w:t xml:space="preserve"> </w:t>
      </w:r>
      <w:hyperlink r:id="rId160">
        <w:r>
          <w:rPr>
            <w:rStyle w:val="Hyperlink"/>
          </w:rPr>
          <w:t xml:space="preserve">10.1001/jama.285.23.2987</w:t>
        </w:r>
      </w:hyperlink>
      <w:r>
        <w:t xml:space="preserve">.</w:t>
      </w:r>
    </w:p>
    <w:bookmarkEnd w:id="161"/>
    <w:bookmarkStart w:id="163" w:name="ref-Grodstein20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Grodstein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135, no. 1, pp. 1–8, 2001, doi:</w:t>
      </w:r>
      <w:r>
        <w:t xml:space="preserve"> </w:t>
      </w:r>
      <w:hyperlink r:id="rId162">
        <w:r>
          <w:rPr>
            <w:rStyle w:val="Hyperlink"/>
          </w:rPr>
          <w:t xml:space="preserve">10.7326/0003-4819-135-1-200107030-00007</w:t>
        </w:r>
      </w:hyperlink>
      <w:r>
        <w:t xml:space="preserve">.</w:t>
      </w:r>
    </w:p>
    <w:bookmarkEnd w:id="163"/>
    <w:bookmarkStart w:id="164" w:name="ref-Orwoll1996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S. Orwoll, D. C. Bauer, T. M. Vogt, K. M. Fox, and S. of Osteoporotic Fractures Research Group,</w:t>
      </w:r>
      <w:r>
        <w:t xml:space="preserve"> </w:t>
      </w:r>
      <w:r>
        <w:t xml:space="preserve">“Axial bone mass in older women,”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124, no. 3, pp. 187–196, 1996.</w:t>
      </w:r>
    </w:p>
    <w:bookmarkEnd w:id="164"/>
    <w:bookmarkStart w:id="166" w:name="ref-rocke2021epi2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65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66"/>
    <w:bookmarkStart w:id="168" w:name="ref-kleinbaum2010logisti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https://link.springer.com/book/10.1007/978-1-4419-1742-3</w:t>
        </w:r>
      </w:hyperlink>
    </w:p>
    <w:bookmarkEnd w:id="168"/>
    <w:bookmarkStart w:id="170" w:name="ref-MickeyGreenland1989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M. Mickey and S. Greenland,</w:t>
      </w:r>
      <w:r>
        <w:t xml:space="preserve"> </w:t>
      </w:r>
      <w:r>
        <w:t xml:space="preserve">“The impact of confounder selection criteria on effect estimation,”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 vol. 129, no. 1, pp. 125–137, Jan. 1989, doi:</w:t>
      </w:r>
      <w:r>
        <w:t xml:space="preserve"> </w:t>
      </w:r>
      <w:hyperlink r:id="rId169">
        <w:r>
          <w:rPr>
            <w:rStyle w:val="Hyperlink"/>
          </w:rPr>
          <w:t xml:space="preserve">10.1093/oxfordjournals.aje.a115101</w:t>
        </w:r>
      </w:hyperlink>
      <w:r>
        <w:t xml:space="preserve">.</w:t>
      </w:r>
    </w:p>
    <w:bookmarkEnd w:id="170"/>
    <w:bookmarkStart w:id="172" w:name="ref-Greenland1989Model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“Modeling and variable selection in epidemiologic analysis,”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, vol. 79, no. 3, pp. 340–349, Mar. 1989, doi:</w:t>
      </w:r>
      <w:r>
        <w:t xml:space="preserve"> </w:t>
      </w:r>
      <w:hyperlink r:id="rId171">
        <w:r>
          <w:rPr>
            <w:rStyle w:val="Hyperlink"/>
          </w:rPr>
          <w:t xml:space="preserve">10.2105/AJPH.79.3.340</w:t>
        </w:r>
      </w:hyperlink>
      <w:r>
        <w:t xml:space="preserve">.</w:t>
      </w:r>
    </w:p>
    <w:bookmarkEnd w:id="172"/>
    <w:bookmarkStart w:id="173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73"/>
    <w:bookmarkStart w:id="174" w:name="ref-AllenCady198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M. Allen and F. B. Cady,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Belmont, CA: Lifetime Learning Publications, 1982.</w:t>
      </w:r>
    </w:p>
    <w:bookmarkEnd w:id="174"/>
    <w:bookmarkStart w:id="176" w:name="ref-Vittinghoff200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Vittinghoff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139, no. 4, pp. 274–281, 2003, doi:</w:t>
      </w:r>
      <w:r>
        <w:t xml:space="preserve"> </w:t>
      </w:r>
      <w:hyperlink r:id="rId175">
        <w:r>
          <w:rPr>
            <w:rStyle w:val="Hyperlink"/>
          </w:rPr>
          <w:t xml:space="preserve">10.7326/0003-4819-139-4-200308190-00006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2026-10-28T20:34:13Z</dcterms:created>
  <dcterms:modified xsi:type="dcterms:W3CDTF">2026-10-28T20:34:13Z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