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</w:t>
      </w:r>
      <w:r>
        <w:t xml:space="preserve"> </w:t>
      </w:r>
      <w:hyperlink r:id="rId9">
        <w:r>
          <w:rPr>
            <w:rStyle w:val="Hyperlink"/>
          </w:rPr>
          <w:t xml:space="preserve">results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</w:t>
      </w:r>
      <w:r>
        <w:t xml:space="preserve"> </w:t>
      </w:r>
      <w:hyperlink r:id="rId1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271 labeled definitions and results in the notes,</w:t>
      </w:r>
      <w:r>
        <w:t xml:space="preserve"> </w:t>
      </w:r>
      <w:r>
        <w:t xml:space="preserve">connected by 129 direct dependency links.</w:t>
      </w:r>
    </w:p>
    <w:bookmarkEnd w:id="11"/>
    <w:bookmarkStart w:id="13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2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3"/>
    <w:bookmarkStart w:id="15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marginal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predicted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marginal risk under identification assumptions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G-computation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expit, logistic, inverse-logit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Marginal risk as a 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Leverage for a GLM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 marginal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Pearson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Consistency of g-computation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Inverse-odds function inverts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Collapsibility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Relative risk ratios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Standardized Pearson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Expected mean squares in the 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Moments of the 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4"/>
          <w:p/>
        </w:tc>
      </w:tr>
    </w:tbl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2026-10-17T10:04:24Z</dcterms:created>
  <dcterms:modified xsi:type="dcterms:W3CDTF">2026-10-17T10:04:24Z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