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png" ContentType="image/png"/>
  <Override PartName="/word/media/rId106.png" ContentType="image/png"/>
  <Override PartName="/word/media/rId88.png" ContentType="image/png"/>
  <Override PartName="/word/media/rId82.png" ContentType="image/png"/>
  <Override PartName="/word/media/rId150.png" ContentType="image/png"/>
  <Override PartName="/word/media/rId144.png" ContentType="image/png"/>
  <Override PartName="/word/media/rId130.png" ContentType="image/png"/>
  <Override PartName="/word/media/rId136.png" ContentType="image/png"/>
  <Override PartName="/word/media/rId115.png" ContentType="image/png"/>
  <Override PartName="/word/media/rId57.png" ContentType="image/png"/>
  <Override PartName="/word/media/rId61.png" ContentType="image/png"/>
  <Override PartName="/word/media/rId162.png" ContentType="image/png"/>
  <Override PartName="/word/media/rId166.png" ContentType="image/png"/>
  <Override PartName="/word/media/rId171.png" ContentType="image/png"/>
  <Override PartName="/word/media/rId177.png" ContentType="image/png"/>
  <Override PartName="/word/media/rId1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59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in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2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def-integrable-general"/>
          <w:p>
            <w:pPr>
              <w:pStyle w:val="BodyText"/>
            </w:pPr>
            <w:r>
              <w:rPr>
                <w:b/>
                <w:bCs/>
              </w:rPr>
              <w:t xml:space="preserve">Definition 11 (General Riemann integrability)</w:t>
            </w:r>
            <w:r>
              <w:t xml:space="preserve"> </w:t>
            </w: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</w:t>
            </w:r>
            <w:hyperlink w:anchor="def-integrable-genera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3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following two theorems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counterexample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0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09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09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0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1"/>
              </w:tc>
            </w:tr>
          </w:tbl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3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counterexample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0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9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8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8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9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in</w:t>
                  </w:r>
                  <w:r>
                    <w:t xml:space="preserve"> </w:t>
                  </w:r>
                  <w:hyperlink w:anchor="exm-int-not-cont">
                    <w:r>
                      <w:rPr>
                        <w:rStyle w:val="Hyperlink"/>
                      </w:rPr>
                      <w:t xml:space="preserve">Example 8</w:t>
                    </w:r>
                  </w:hyperlink>
                  <w:r>
                    <w:t xml:space="preserve">.</w:t>
                  </w:r>
                </w:p>
                <w:bookmarkEnd w:id="120"/>
              </w:tc>
            </w:tr>
          </w:tbl>
          <w:bookmarkEnd w:id="121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2"/>
    <w:bookmarkStart w:id="158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3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7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7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8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29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2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5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4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3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5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1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0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9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7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8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6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9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0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2"/>
          <w:bookmarkEnd w:id="14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6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9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8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7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5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6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4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7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8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49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5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4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3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6"/>
          <w:bookmarkEnd w:id="157"/>
          <w:p/>
        </w:tc>
      </w:tr>
    </w:tbl>
    <w:bookmarkEnd w:id="158"/>
    <w:bookmarkEnd w:id="159"/>
    <w:bookmarkStart w:id="189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5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5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9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69"/>
              </w:tc>
            </w:tr>
          </w:tbl>
          <w:bookmarkEnd w:id="17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in the condition check).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condition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4"/>
              </w:tc>
            </w:tr>
          </w:tbl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0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0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4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6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6"/>
        </w:tc>
      </w:tr>
    </w:tbl>
    <w:p>
      <w:pPr>
        <w:pStyle w:val="BodyText"/>
      </w:pPr>
      <w:r>
        <w:t xml:space="preserve">The measure-theoretic generalization is not required for Epi 204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joint probability calculation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condition (a) holds.</w:t>
            </w:r>
          </w:p>
          <w:bookmarkEnd w:id="1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conditions fail: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condition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(Condition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8"/>
          <w:p/>
        </w:tc>
      </w:tr>
    </w:tbl>
    <w:bookmarkEnd w:id="189"/>
    <w:bookmarkStart w:id="250" w:name="sec-linear-algebra"/>
    <w:p>
      <w:pPr>
        <w:pStyle w:val="Heading1"/>
      </w:pPr>
      <w:r>
        <w:t xml:space="preserve">5. Linear Algebra</w:t>
      </w:r>
    </w:p>
    <w:bookmarkStart w:id="208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12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13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4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14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15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16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17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199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0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3"/>
          <w:p/>
        </w:tc>
      </w:tr>
    </w:tbl>
    <w:p>
      <w:r>
        <w:pict>
          <v:rect style="width:0;height:1.5pt" o:hralign="center" o:hrstd="t" o:hr="t"/>
        </w:pict>
      </w:r>
    </w:p>
    <w:bookmarkEnd w:id="204"/>
    <w:bookmarkStart w:id="207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5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19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16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29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9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20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3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21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3"/>
    <w:bookmarkStart w:id="220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22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23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bookmarkEnd w:id="220"/>
    <w:bookmarkStart w:id="222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24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1"/>
        </w:tc>
      </w:tr>
    </w:tbl>
    <w:p>
      <w:r>
        <w:pict>
          <v:rect style="width:0;height:1.5pt" o:hralign="center" o:hrstd="t" o:hr="t"/>
        </w:pict>
      </w:r>
    </w:p>
    <w:bookmarkEnd w:id="222"/>
    <w:bookmarkStart w:id="226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3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3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bookmarkEnd w:id="226"/>
    <w:bookmarkStart w:id="228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26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7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43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27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28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29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4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30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4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31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5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32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33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34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3"/>
    <w:bookmarkStart w:id="247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35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4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5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6"/>
        </w:tc>
      </w:tr>
    </w:tbl>
    <w:p>
      <w:r>
        <w:pict>
          <v:rect style="width:0;height:1.5pt" o:hralign="center" o:hrstd="t" o:hr="t"/>
        </w:pict>
      </w:r>
    </w:p>
    <w:bookmarkEnd w:id="247"/>
    <w:bookmarkStart w:id="249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8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36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8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9"/>
    <w:bookmarkEnd w:id="250"/>
    <w:bookmarkStart w:id="279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38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39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39</w:t>
              </w:r>
            </w:hyperlink>
            <w:r>
              <w:t xml:space="preserve">).</w:t>
            </w:r>
          </w:p>
          <w:bookmarkEnd w:id="2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7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8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5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9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1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result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4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5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vector derivative formula looks a lot like non-vector calculus,</w:t>
            </w:r>
            <w:r>
              <w:t xml:space="preserve"> </w:t>
            </w:r>
            <w:r>
              <w:t xml:space="preserve">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6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7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symmetric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Expanding entry-wise,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Differentiating component-wise 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S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quadratic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S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(matrix-vector multiplication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matrix 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symmetric 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  <w:r>
              <w:t xml:space="preserve">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8" w:name="exm-deriv-quadratic-form"/>
          <w:p>
            <w:pPr>
              <w:pStyle w:val="BodyText"/>
            </w:pPr>
            <w:r>
              <w:rPr>
                <w:b/>
                <w:bCs/>
              </w:rPr>
              <w:t xml:space="preserve">Example 23 (Derivative of a quadratic form)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symmetric and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Differentiating component-wise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(which is symmetric and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with identity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r>
                      <m:rPr>
                        <m:nor/>
                        <m:sty m:val="p"/>
                      </m:rPr>
                      <m:t>@thm-quadratic-form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 property)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exm-deriv-normsq"/>
          <w:p>
            <w:pPr>
              <w:pStyle w:val="BodyText"/>
            </w:pPr>
            <w:r>
              <w:rPr>
                <w:b/>
                <w:bCs/>
              </w:rPr>
              <w:t xml:space="preserve">Example 24 (Derivative of a sum of squares)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normsq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Direct partial differentiation yields the same column vector.</w:t>
            </w:r>
          </w:p>
          <w:bookmarkEnd w:id="27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1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1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4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6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7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8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8"/>
        </w:tc>
      </w:tr>
    </w:tbl>
    <w:bookmarkEnd w:id="279"/>
    <w:bookmarkStart w:id="288" w:name="additional-resources"/>
    <w:p>
      <w:pPr>
        <w:pStyle w:val="Heading1"/>
      </w:pPr>
      <w:r>
        <w:t xml:space="preserve">7. Additional resources</w:t>
      </w:r>
    </w:p>
    <w:bookmarkStart w:id="282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1">
        <w:r>
          <w:rPr>
            <w:rStyle w:val="Hyperlink"/>
          </w:rPr>
          <w:t xml:space="preserve">http://www.youtube.com/watch?v=Ps2SBo_WjoE</w:t>
        </w:r>
      </w:hyperlink>
    </w:p>
    <w:bookmarkEnd w:id="282"/>
    <w:bookmarkStart w:id="283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3"/>
    <w:bookmarkStart w:id="286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6"/>
    <w:bookmarkStart w:id="287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7"/>
    <w:bookmarkEnd w:id="288"/>
    <w:bookmarkStart w:id="320" w:name="references"/>
    <w:p>
      <w:pPr>
        <w:pStyle w:val="Heading1"/>
      </w:pPr>
      <w:r>
        <w:t xml:space="preserve">References</w:t>
      </w:r>
    </w:p>
    <w:bookmarkStart w:id="319" w:name="refs"/>
    <w:bookmarkStart w:id="2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90"/>
    <w:bookmarkStart w:id="29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2"/>
    <w:bookmarkStart w:id="29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3"/>
    <w:bookmarkStart w:id="29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5"/>
    <w:bookmarkStart w:id="29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7"/>
    <w:bookmarkStart w:id="29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9"/>
    <w:bookmarkStart w:id="300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00"/>
    <w:bookmarkStart w:id="302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1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2"/>
    <w:bookmarkStart w:id="30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4"/>
    <w:bookmarkStart w:id="30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6"/>
    <w:bookmarkStart w:id="308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7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8"/>
    <w:bookmarkStart w:id="31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10"/>
    <w:bookmarkStart w:id="31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2"/>
    <w:bookmarkStart w:id="31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4"/>
    <w:bookmarkStart w:id="3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5"/>
    <w:bookmarkStart w:id="316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6"/>
    <w:bookmarkStart w:id="318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7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8"/>
    <w:bookmarkEnd w:id="319"/>
    <w:bookmarkEnd w:id="3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4" Target="media/rId124.png" /><Relationship Type="http://schemas.openxmlformats.org/officeDocument/2006/relationships/image" Id="rId106" Target="media/rId106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0" Target="media/rId150.png" /><Relationship Type="http://schemas.openxmlformats.org/officeDocument/2006/relationships/image" Id="rId144" Target="media/rId144.png" /><Relationship Type="http://schemas.openxmlformats.org/officeDocument/2006/relationships/image" Id="rId130" Target="media/rId130.png" /><Relationship Type="http://schemas.openxmlformats.org/officeDocument/2006/relationships/image" Id="rId136" Target="media/rId136.png" /><Relationship Type="http://schemas.openxmlformats.org/officeDocument/2006/relationships/image" Id="rId115" Target="media/rId115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2" Target="media/rId162.png" /><Relationship Type="http://schemas.openxmlformats.org/officeDocument/2006/relationships/image" Id="rId166" Target="media/rId166.png" /><Relationship Type="http://schemas.openxmlformats.org/officeDocument/2006/relationships/image" Id="rId171" Target="media/rId171.png" /><Relationship Type="http://schemas.openxmlformats.org/officeDocument/2006/relationships/image" Id="rId177" Target="media/rId177.png" /><Relationship Type="http://schemas.openxmlformats.org/officeDocument/2006/relationships/image" Id="rId181" Target="media/rId181.png" /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2026-10-02T01:27:12Z</dcterms:created>
  <dcterms:modified xsi:type="dcterms:W3CDTF">2026-10-02T01:27:12Z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