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3.png" ContentType="image/png"/>
  <Override PartName="/word/media/rId118.png" ContentType="image/png"/>
  <Override PartName="/word/media/rId377.png" ContentType="image/png"/>
  <Override PartName="/word/media/rId250.png" ContentType="image/png"/>
  <Override PartName="/word/media/rId372.png" ContentType="image/png"/>
  <Override PartName="/word/media/rId255.png" ContentType="image/png"/>
  <Override PartName="/word/media/rId260.png" ContentType="image/png"/>
  <Override PartName="/word/media/rId322.png" ContentType="image/png"/>
  <Override PartName="/word/media/rId327.png" ContentType="image/png"/>
  <Override PartName="/word/media/rId338.png" ContentType="image/png"/>
  <Override PartName="/word/media/rId37.png" ContentType="image/png"/>
  <Override PartName="/word/media/rId266.png" ContentType="image/png"/>
  <Override PartName="/word/media/rId271.png" ContentType="image/png"/>
  <Override PartName="/word/media/rId276.png" ContentType="image/png"/>
  <Override PartName="/word/media/rId42.png" ContentType="image/png"/>
  <Override PartName="/word/media/rId331.png" ContentType="image/png"/>
  <Override PartName="/word/media/rId345.png" ContentType="image/png"/>
  <Override PartName="/word/media/rId349.png" ContentType="image/png"/>
  <Override PartName="/word/media/rId353.png" ContentType="image/png"/>
  <Override PartName="/word/media/rId47.png" ContentType="image/png"/>
  <Override PartName="/word/media/rId357.png" ContentType="image/png"/>
  <Override PartName="/word/media/rId449.png" ContentType="image/png"/>
  <Override PartName="/word/media/rId476.png" ContentType="image/png"/>
  <Override PartName="/word/media/rId480.png" ContentType="image/png"/>
  <Override PartName="/word/media/rId52.png" ContentType="image/png"/>
  <Override PartName="/word/media/rId484.png" ContentType="image/png"/>
  <Override PartName="/word/media/rId489.png" ContentType="image/png"/>
  <Override PartName="/word/media/rId493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7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 logistic regression?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 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(a.k.a.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 binary outcomes in the health sciences?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19"/>
          <w:p/>
        </w:tc>
      </w:tr>
    </w:tbl>
    <w:p>
      <w:pPr>
        <w:pStyle w:val="FirstParagraph"/>
      </w:pPr>
      <w:r>
        <w:t xml:space="preserve">Logistic regression uses the</w:t>
      </w:r>
      <w:r>
        <w:t xml:space="preserve"> </w:t>
      </w:r>
      <w:hyperlink r:id="rId2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2"/>
          <w:p/>
        </w:tc>
      </w:tr>
    </w:tbl>
    <w:bookmarkStart w:id="26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r>
        <w:t xml:space="preserve">Logistic regression 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4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 binary outcomes —</w:t>
      </w:r>
      <w:r>
        <w:t xml:space="preserve"> </w:t>
      </w:r>
      <w:r>
        <w:t xml:space="preserve">risks, risk differences and ratios, odds, odds ratios,</w:t>
      </w:r>
      <w:r>
        <w:t xml:space="preserve"> </w:t>
      </w:r>
      <w:r>
        <w:t xml:space="preserve">and the logit and expit 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26"/>
    <w:bookmarkEnd w:id="27"/>
    <w:bookmarkStart w:id="74" w:name="introduction-to-logistic-regression"/>
    <w:p>
      <w:pPr>
        <w:pStyle w:val="Heading1"/>
      </w:pPr>
      <w:r>
        <w:t xml:space="preserve">2. Introduction to logistic regression</w:t>
      </w:r>
    </w:p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OC-MI example</w:t>
        </w:r>
      </w:hyperlink>
      <w:r>
        <w:t xml:space="preserve">, we estimated the risk and the odds 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 logistic regression, which is a generalization of the linear regression models you have been using that can account for a binary response instead of a continuous one.</w:t>
      </w:r>
    </w:p>
    <w:bookmarkStart w:id="33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32"/>
          <w:p/>
        </w:tc>
      </w:tr>
    </w:tbl>
    <w:bookmarkEnd w:id="33"/>
    <w:bookmarkStart w:id="35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34" w:name="eq-logistic-link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t>β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4"/>
    </w:p>
    <w:bookmarkEnd w:id="35"/>
    <w:bookmarkStart w:id="41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beetl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"glmx"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</w:t>
            </w:r>
            <w:r>
              <w:br/>
            </w:r>
            <w:r>
              <w:rPr>
                <w:rStyle w:val="CommentTok"/>
              </w:rPr>
              <w:t xml:space="preserve">#&gt; # A tibble: 8 × 6</w:t>
            </w:r>
            <w:r>
              <w:br/>
            </w:r>
            <w:r>
              <w:rPr>
                <w:rStyle w:val="CommentTok"/>
              </w:rPr>
              <w:t xml:space="preserve">#&gt;    dose  died     n   pct survived   dose_c</w:t>
            </w:r>
            <w:r>
              <w:br/>
            </w:r>
            <w:r>
              <w:rPr>
                <w:rStyle w:val="CommentTok"/>
              </w:rPr>
              <w:t xml:space="preserve">#&gt;   &lt;dbl&gt; &lt;int&gt; &lt;int&gt; &lt;dbl&gt;    &lt;int&gt;    &lt;dbl&gt;</w:t>
            </w:r>
            <w:r>
              <w:br/>
            </w:r>
            <w:r>
              <w:rPr>
                <w:rStyle w:val="CommentTok"/>
              </w:rPr>
              <w:t xml:space="preserve">#&gt; 1  1.69     6    59 0.102       53 -0.103  </w:t>
            </w:r>
            <w:r>
              <w:br/>
            </w:r>
            <w:r>
              <w:rPr>
                <w:rStyle w:val="CommentTok"/>
              </w:rPr>
              <w:t xml:space="preserve">#&gt; 2  1.72    13    60 0.217       47 -0.0692 </w:t>
            </w:r>
            <w:r>
              <w:br/>
            </w:r>
            <w:r>
              <w:rPr>
                <w:rStyle w:val="CommentTok"/>
              </w:rPr>
              <w:t xml:space="preserve">#&gt; 3  1.76    18    62 0.290       44 -0.0382 </w:t>
            </w:r>
            <w:r>
              <w:br/>
            </w:r>
            <w:r>
              <w:rPr>
                <w:rStyle w:val="CommentTok"/>
              </w:rPr>
              <w:t xml:space="preserve">#&gt; 4  1.78    28    56 0.5         28 -0.00923</w:t>
            </w:r>
            <w:r>
              <w:br/>
            </w:r>
            <w:r>
              <w:rPr>
                <w:rStyle w:val="CommentTok"/>
              </w:rPr>
              <w:t xml:space="preserve">#&gt; 5  1.81    52    63 0.825       11  0.0179 </w:t>
            </w:r>
            <w:r>
              <w:br/>
            </w:r>
            <w:r>
              <w:rPr>
                <w:rStyle w:val="CommentTok"/>
              </w:rPr>
              <w:t xml:space="preserve">#&gt; 6  1.84    53    59 0.898        6  0.0435 </w:t>
            </w:r>
            <w:r>
              <w:br/>
            </w:r>
            <w:r>
              <w:rPr>
                <w:rStyle w:val="CommentTok"/>
              </w:rPr>
              <w:t xml:space="preserve">#&gt; 7  1.86    61    62 0.984        1  0.0676 </w:t>
            </w:r>
            <w:r>
              <w:br/>
            </w:r>
            <w:r>
              <w:rPr>
                <w:rStyle w:val="CommentTok"/>
              </w:rPr>
              <w:t xml:space="preserve">#&gt; 8  1.88    60    60 1            0  0.0905</w:t>
            </w:r>
          </w:p>
          <w:bookmarkEnd w:id="3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beetles_1a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0"/>
        </w:tc>
      </w:tr>
    </w:tbl>
    <w:bookmarkEnd w:id="41"/>
    <w:bookmarkStart w:id="46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etles_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dose)</w:t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5"/>
        </w:tc>
      </w:tr>
    </w:tbl>
    <w:bookmarkEnd w:id="46"/>
    <w:bookmarkStart w:id="51" w:name="zoom-out"/>
    <w:p>
      <w:pPr>
        <w:pStyle w:val="Heading3"/>
      </w:pPr>
      <w:r>
        <w:t xml:space="preserve">2.0.5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beetles_3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0"/>
        </w:tc>
      </w:tr>
    </w:tbl>
    <w:bookmarkEnd w:id="51"/>
    <w:bookmarkStart w:id="56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beetles_4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(dose))</w:t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6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5"/>
        </w:tc>
      </w:tr>
    </w:tbl>
    <w:bookmarkEnd w:id="56"/>
    <w:bookmarkStart w:id="61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eetles_5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7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</w:t>
            </w:r>
            <w:r>
              <w:t xml:space="preserve"> </w:t>
            </w:r>
            <w:r>
              <w:t xml:space="preserve">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</w:p>
          <w:bookmarkEnd w:id="60"/>
        </w:tc>
      </w:tr>
    </w:tbl>
    <w:bookmarkEnd w:id="61"/>
    <w:bookmarkStart w:id="62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(linear predictor, interactions)</w:t>
      </w:r>
    </w:p>
    <w:bookmarkEnd w:id="62"/>
    <w:bookmarkStart w:id="73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tbl-beetles-model-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logistic regression model for beetles data with grouped (binomial)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3"/>
          <w:p/>
        </w:tc>
      </w:tr>
    </w:tbl>
    <w:bookmarkStart w:id="65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r>
        <w:t xml:space="preserve">Fitted values 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beetles-model-fitted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  <w:r>
              <w:br/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</w:p>
          <w:bookmarkEnd w:id="64"/>
        </w:tc>
      </w:tr>
    </w:tbl>
    <w:bookmarkEnd w:id="65"/>
    <w:bookmarkStart w:id="66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66"/>
    <w:bookmarkStart w:id="67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 logit 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67"/>
    <w:bookmarkStart w:id="72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tbl-beetles-lo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in long format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</w:t>
            </w:r>
            <w:r>
              <w:br/>
            </w:r>
            <w:r>
              <w:rPr>
                <w:rStyle w:val="CommentTok"/>
              </w:rPr>
              <w:t xml:space="preserve">#&gt; # A tibble: 481 × 7</w:t>
            </w:r>
            <w:r>
              <w:br/>
            </w:r>
            <w:r>
              <w:rPr>
                <w:rStyle w:val="CommentTok"/>
              </w:rPr>
              <w:t xml:space="preserve">#&gt;     dose  died     n   pct survived dose_c outcome</w:t>
            </w:r>
            <w:r>
              <w:br/>
            </w:r>
            <w:r>
              <w:rPr>
                <w:rStyle w:val="CommentTok"/>
              </w:rPr>
              <w:t xml:space="preserve">#&gt;    &lt;dbl&gt; &lt;int&gt; &lt;int&gt; &lt;dbl&gt;    &lt;int&gt;  &lt;dbl&gt;   &lt;dbl&gt;</w:t>
            </w:r>
            <w:r>
              <w:br/>
            </w:r>
            <w:r>
              <w:rPr>
                <w:rStyle w:val="CommentTok"/>
              </w:rPr>
              <w:t xml:space="preserve">#&gt;  1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2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3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4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5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6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7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8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9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10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# ℹ 471 more rows</w:t>
            </w:r>
          </w:p>
          <w:bookmarkEnd w:id="6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tbl-beetles-model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logistic regression model for beetles data with individual Bernoulli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71"/>
          <w:p/>
        </w:tc>
      </w:tr>
    </w:tbl>
    <w:bookmarkEnd w:id="72"/>
    <w:bookmarkEnd w:id="73"/>
    <w:bookmarkEnd w:id="74"/>
    <w:bookmarkStart w:id="111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 logistic regression models</w:t>
      </w:r>
      <w:r>
        <w:t xml:space="preserve"> </w:t>
      </w:r>
      <w:r>
        <w:t xml:space="preserve">and find their MLEs,</w:t>
      </w:r>
      <w:r>
        <w:t xml:space="preserve"> </w:t>
      </w:r>
      <w:r>
        <w:t xml:space="preserve">we will need to compute various derivatives.</w:t>
      </w:r>
      <w:r>
        <w:t xml:space="preserve"> </w:t>
      </w:r>
      <w:r>
        <w:t xml:space="preserve">This section compiles some useful results.</w:t>
      </w:r>
    </w:p>
    <w:bookmarkStart w:id="80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1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</m:oMath>
            </m:oMathPara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​</m:t>
                            </m:r>
                            <m:sSup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t>​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80"/>
    <w:bookmarkStart w:id="85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2 (Derivative of inverse odds function)</w:t>
            </w:r>
          </w:p>
          <w:p>
            <w:pPr>
              <w:pStyle w:val="BodyText"/>
            </w:pPr>
            <w:bookmarkStart w:id="81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​</m:t>
                                </m:r>
                                <m:sSup>
                                  <m:e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bookmarkEnd w:id="85"/>
    <w:bookmarkStart w:id="93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93"/>
    <w:bookmarkStart w:id="108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6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odds in terms of probability)</w:t>
            </w:r>
          </w:p>
          <w:p>
            <w:pPr>
              <w:pStyle w:val="BodyText"/>
            </w:pPr>
            <w:bookmarkStart w:id="97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4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1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 logistic regression model</w:t>
            </w:r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log-odds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 expit function 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Specifically,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07"/>
          <w:p/>
        </w:tc>
      </w:tr>
    </w:tbl>
    <w:bookmarkEnd w:id="108"/>
    <w:bookmarkStart w:id="110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 derivative 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Jacobian</w:t>
      </w:r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logistic-deriv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Matrix of logistic regression derivatives</w:t>
            </w:r>
            <w:r>
              <w:t xml:space="preserve"> </w:t>
            </w:r>
            <w:r>
              <w:t xml:space="preserve">(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number of predictors,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entry is the derivative of the</w:t>
            </w:r>
            <w:r>
              <w:t xml:space="preserve"> </w:t>
            </w:r>
            <w:r>
              <w:rPr>
                <w:b/>
                <w:bCs/>
              </w:rPr>
              <w:t xml:space="preserve">column quantity</w:t>
            </w:r>
            <w:r>
              <w:t xml:space="preserve"> </w:t>
            </w:r>
            <w:r>
              <w:t xml:space="preserve">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row quantity</w:t>
            </w:r>
            <w:r>
              <w:t xml:space="preserve">.</w:t>
            </w:r>
            <w:r>
              <w:t xml:space="preserve"> </w:t>
            </w:r>
            <w:r>
              <w:t xml:space="preserve">Entries marked</w:t>
            </w:r>
            <w:r>
              <w:t xml:space="preserve"> </w:t>
            </w:r>
            <w:r>
              <w:t xml:space="preserve">“undef”</w:t>
            </w:r>
            <w:r>
              <w:t xml:space="preserve"> </w:t>
            </w:r>
            <w:r>
              <w:t xml:space="preserve">are not defined</w:t>
            </w:r>
            <w:r>
              <w:t xml:space="preserve"> </w:t>
            </w:r>
            <w:r>
              <w:t xml:space="preserve">because the vector-to-scalar map is not invertible:</w:t>
            </w:r>
            <w:r>
              <w:t xml:space="preserve"> </w:t>
            </w:r>
            <w:r>
              <w:t xml:space="preserve">the scalar row quantity does not determine</w:t>
            </w:r>
            <w:r>
              <w:t xml:space="preserve"> </w:t>
            </w:r>
            <w:r>
              <w:t xml:space="preserve">the vector column quantity.</w:t>
            </w:r>
          </w:p>
          <w:p>
            <w:pPr>
              <w:pStyle w:val="Compact"/>
              <w:jc w:val="center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r>
                        <m:t>π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η</m:t>
                      </m:r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mr>
                  <m:mr>
                    <m:e>
                      <m:r>
                        <m:t>π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ω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ω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ω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r>
                        <m:t>1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η</m:t>
                      </m:r>
                    </m:e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</m:mr>
                  <m:mr>
                    <m:e/>
                  </m:mr>
                </m:m>
              </m:oMath>
            </m:oMathPara>
          </w:p>
          <w:bookmarkEnd w:id="109"/>
        </w:tc>
      </w:tr>
    </w:tbl>
    <w:bookmarkEnd w:id="110"/>
    <w:bookmarkEnd w:id="111"/>
    <w:bookmarkStart w:id="141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14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p>
            <w:pPr>
              <w:pStyle w:val="FirstParagraph"/>
            </w:pPr>
            <w:r>
              <w:t xml:space="preserve">Find the derivative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7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1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 interaction terms 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 MLE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  <w:r>
              <w:t xml:space="preserve"> </w:t>
            </w:r>
            <w:r>
              <w:t xml:space="preserve">differentiate the log-likelihood function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3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 logistic regression model: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122" w:name="eq-def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2"/>
          </w:p>
          <w:bookmarkEnd w:id="1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24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m:oMath>
        <m:sSub>
          <m:e>
            <m:r>
              <m:t>θ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25" w:name="eq-logistic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5 (Shorthand general formula for odds ratios in logistic regression)</w:t>
            </w:r>
          </w:p>
          <w:p>
            <w:pPr>
              <w:pStyle w:val="BodyText"/>
            </w:pPr>
            <w:bookmarkStart w:id="128" w:name="eq-logistic-ror-diff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 difference in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oMath>
            </m:oMathPara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6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 odds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6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7 (Odds ratio from difference in covariate patterns)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37" w:name="eq-or-delta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bookmarkEnd w:id="13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9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2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1.7242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1.6907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0.0335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odds ratio comparing these two dose levels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(@thm-logistic-OR)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dot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34.270326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3.152059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exponential)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 odds 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7 (Log odds ratio equals the 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bookmarkEnd w:id="140"/>
        </w:tc>
      </w:tr>
    </w:tbl>
    <w:bookmarkEnd w:id="141"/>
    <w:bookmarkStart w:id="192" w:name="estimating-logistic-regression-models"/>
    <w:p>
      <w:pPr>
        <w:pStyle w:val="Heading1"/>
      </w:pPr>
      <w:r>
        <w:t xml:space="preserve">5. Estimating logistic regression models</w:t>
      </w:r>
    </w:p>
    <w:bookmarkStart w:id="14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​</w:t>
      </w:r>
    </w:p>
    <w:bookmarkEnd w:id="142"/>
    <w:bookmarkStart w:id="14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 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beetles-data-reca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Mortality rates of adult flour beetles after</w:t>
                  </w:r>
                  <w:r>
                    <w:t xml:space="preserve"> </w:t>
                  </w:r>
                  <w:r>
                    <w:t xml:space="preserve">five hours’ exposure to gaseous carbon disulphide</w:t>
                  </w:r>
                  <w:r>
                    <w:t xml:space="preserve"> </w:t>
                  </w:r>
                  <w:r>
                    <w:t xml:space="preserve">(Bliss 1935)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143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4" w:name="tbl-beetles-model-un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Fitted logistic regression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44"/>
                <w:p/>
              </w:tc>
            </w:tr>
          </w:tbl>
          <w:bookmarkEnd w:id="1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146"/>
          <w:p/>
        </w:tc>
      </w:tr>
    </w:tbl>
    <w:bookmarkEnd w:id="147"/>
    <w:bookmarkStart w:id="15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 log-likelihood function for the general logistic regression model.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149" w:name="eq-loglik-bernoulli-iid"/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factors,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is the sum of the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15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15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15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 log-likelihood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15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beetles-model-cente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Fitted logistic regression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centered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(0.48, 1.02)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55"/>
          <w:p/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156"/>
    <w:bookmarkStart w:id="172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 independence,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log-likelihood decomposes over observations,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acc>
                          <m:accPr>
                            <m:chr m:val="̃"/>
                          </m:accPr>
                          <m:e>
                            <m:sSubSup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bSup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15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component)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(per-observation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(constant-factor rule: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does not depend on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with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natural log: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u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nor/>
                        <m:sty m:val="p"/>
                      </m:rPr>
                      <m:t>: the constant 1 has derivative 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back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60" w:name="eq-d_eta_d_vb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bookmarkEnd w:id="16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8 (Gradient of odds w.r.t. coefficients)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To derive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ω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we can apply the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again</w:t>
            </w:r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8 (Gradient of odds w.r.t. coefficients in terms of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in terms of probability: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3"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log-odds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scalar factors into one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(inverse-odds identity: 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(abbreviation: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9 (Score component for one observation)</w:t>
            </w:r>
          </w:p>
          <w:p>
            <w:pPr>
              <w:pStyle w:val="BodyText"/>
            </w:pPr>
            <w:bookmarkStart w:id="164" w:name="eq-score-comp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4"/>
          </w:p>
          <w:bookmarkEnd w:id="165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166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10 (Logistic-model score function)</w:t>
            </w:r>
          </w:p>
          <w:p>
            <w:pPr>
              <w:pStyle w:val="BodyText"/>
            </w:pPr>
            <w:bookmarkStart w:id="167" w:name="eq-logit-scor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score decomposes over observations)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sSub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ε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component for one observation)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 form: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7"/>
          </w:p>
          <w:bookmarkEnd w:id="168"/>
        </w:tc>
      </w:tr>
    </w:tbl>
    <w:p>
      <w:pPr>
        <w:pStyle w:val="FirstParagraph"/>
      </w:pPr>
      <w:r>
        <w:t xml:space="preserve">The score function 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p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̃"/>
                      </m:accPr>
                      <m:e>
                        <m:r>
                          <m:t>1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 score equation</w:t>
      </w:r>
      <w:r>
        <w:t xml:space="preserve"> </w:t>
      </w:r>
      <m:oMath>
        <m:acc>
          <m:accPr>
            <m:chr m:val="̃"/>
          </m:acc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rPr>
                <m:sty m:val="p"/>
              </m:rPr>
              <m:t>(</m:t>
            </m:r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means that</w:t>
      </w:r>
      <w:r>
        <w:t xml:space="preserve"> </w:t>
      </w:r>
      <w:r>
        <w:t xml:space="preserve">for 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rPr>
                  <m:sty m:val="p"/>
                </m:rPr>
                <m:t>⋅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j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:</m:t>
              </m:r>
              <m:r>
                <m:t>p</m:t>
              </m:r>
            </m:e>
          </m:d>
          <m:r>
            <m:t>​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then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1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 score function for the beetles data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171"/>
          <w:p/>
        </w:tc>
      </w:tr>
    </w:tbl>
    <w:bookmarkEnd w:id="172"/>
    <w:bookmarkStart w:id="191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173" w:name="eq-logit-hessian"/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Sup>
                        <m:e>
                          <m:r>
                            <m:t>ℓ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</m:e>
          </m:nary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bookmarkStart w:id="174" w:name="eq-logit-hessian-i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(constant-factor rule: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11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gradient of </m:t>
              </m:r>
              <m:r>
                <m:t>π</m:t>
              </m:r>
              <m:r>
                <m:rPr>
                  <m:nor/>
                  <m:sty m:val="p"/>
                </m:rPr>
                <m:t> w.r.t. coefficients)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variance: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15</w:t>
        </w:r>
      </w:hyperlink>
      <w:r>
        <w:t xml:space="preserve">:</w:t>
      </w:r>
    </w:p>
    <w:p>
      <w:pPr>
        <w:pStyle w:val="BodyText"/>
      </w:pPr>
      <w:bookmarkStart w:id="176" w:name="eq-logit-hessian-i-2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factor 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between the vectors)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176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14</w:t>
        </w:r>
      </w:hyperlink>
      <w:r>
        <w:t xml:space="preserve">:</w:t>
      </w:r>
    </w:p>
    <w:p>
      <w:pPr>
        <w:pStyle w:val="BodyText"/>
      </w:pPr>
      <w:bookmarkStart w:id="177" w:name="eq-logistic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decomposes over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</m:t>
              </m:r>
              <m:r>
                <m:rPr>
                  <m:sty m:val="bi"/>
                </m:rPr>
                <m:t>D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77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diagonal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1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scalar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factors out)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D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X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product; 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is diagonal, hence symmetric)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∥"/>
                            <m:sepChr m:val=""/>
                            <m:endChr m:val="∥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squared Euclidean norm)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(squared norms are non-negative)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(Boyd and Vandenberghe 2004, sec. 3.1.4)</w:t>
            </w:r>
            <w:r>
              <w:t xml:space="preserve">,</w:t>
            </w:r>
            <w:r>
              <w:t xml:space="preserve"> </w:t>
            </w:r>
            <w:r>
              <w:t xml:space="preserve">so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concave,</w:t>
            </w:r>
            <w:r>
              <w:t xml:space="preserve"> </w:t>
            </w:r>
            <w:r>
              <w:t xml:space="preserve">and every stationary point</w:t>
            </w:r>
            <w:r>
              <w:t xml:space="preserve"> </w:t>
            </w:r>
            <w:r>
              <w:t xml:space="preserve">(every solution of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(Boyd and Vandenberghe 2004, sec. 4.2.2)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180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 maximum likelihood estimate,</w:t>
            </w:r>
            <w:r>
              <w:t xml:space="preserve"> </w:t>
            </w:r>
            <w:r>
              <w:t xml:space="preserve">not merely to a local optimum.</w:t>
            </w:r>
          </w:p>
          <w:bookmarkEnd w:id="181"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182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183" w:name="eq-linear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(linear-model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here 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so 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83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4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 logistic regression.</w:t>
            </w:r>
          </w:p>
          <w:bookmarkEnd w:id="1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1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7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column-by-column; here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m>
                                      <m:mPr>
                                        <m:baseJc m:val="center"/>
                                        <m:plcHide m:val="on"/>
                                        <m:mcs>
                                          <m:mc>
                                            <m:mcPr>
                                              <m:mcJc m:val="center"/>
                                              <m:count m:val="1"/>
                                            </m:mcPr>
                                          </m:mc>
                                        </m:mcs>
                                      </m:mPr>
                                      <m:mr>
                                        <m:e>
                                          <m:r>
                                            <m:t>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e>
                                              <m:r>
                                                <m:t>c</m:t>
                                              </m:r>
                                            </m:e>
                                            <m:sub>
                                              <m:r>
                                                <m:t>i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</m:m>
                                  </m:e>
                                </m:d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Hessian with 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π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Sup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out the outer products, entry by entry)</m:t>
                    </m:r>
                  </m:e>
                </m:eqArr>
              </m:oMath>
            </m:oMathPara>
          </w:p>
          <w:bookmarkEnd w:id="187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us:</w:t>
      </w:r>
    </w:p>
    <w:p>
      <w:pPr>
        <w:pStyle w:val="BodyText"/>
      </w:pPr>
      <w:bookmarkStart w:id="188" w:name="eq-score-logistic"/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s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In general, the estimating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 log-likelihood).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 likelihood 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 covariance matrix of the estimates,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tbl-beetles-glm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Fitted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glm(formula = outcome ~ dose, family = "binomial", data = beetles_long, </w:t>
            </w:r>
            <w:r>
              <w:br/>
            </w:r>
            <w:r>
              <w:rPr>
                <w:rStyle w:val="CommentTok"/>
              </w:rPr>
              <w:t xml:space="preserve">#&gt;     control = glm.control(trace = TRUE))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-60.72       5.18   -11.7   &lt;2e-16 ***</w:t>
            </w:r>
            <w:r>
              <w:br/>
            </w:r>
            <w:r>
              <w:rPr>
                <w:rStyle w:val="CommentTok"/>
              </w:rPr>
              <w:t xml:space="preserve">#&gt; dose           34.27       2.91    11.8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binomial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645.44  on 480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372.47  on 479  degrees of freedom</w:t>
            </w:r>
            <w:r>
              <w:br/>
            </w:r>
            <w:r>
              <w:rPr>
                <w:rStyle w:val="CommentTok"/>
              </w:rPr>
              <w:t xml:space="preserve">#&gt; AIC: 376.5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5</w:t>
            </w:r>
          </w:p>
          <w:bookmarkEnd w:id="1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tbl-beetles-glm-ungrouped-vco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 covariance matrix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      (Intercept)      dose</w:t>
            </w:r>
            <w:r>
              <w:br/>
            </w:r>
            <w:r>
              <w:rPr>
                <w:rStyle w:val="CommentTok"/>
              </w:rPr>
              <w:t xml:space="preserve">#&gt; (Intercept)     26.8393 -15.08189</w:t>
            </w:r>
            <w:r>
              <w:br/>
            </w:r>
            <w:r>
              <w:rPr>
                <w:rStyle w:val="CommentTok"/>
              </w:rPr>
              <w:t xml:space="preserve">#&gt; dose           -15.0819   8.48041</w:t>
            </w:r>
          </w:p>
          <w:bookmarkEnd w:id="190"/>
        </w:tc>
      </w:tr>
    </w:tbl>
    <w:bookmarkEnd w:id="191"/>
    <w:bookmarkEnd w:id="192"/>
    <w:bookmarkStart w:id="237" w:name="inference-for-logistic-regression-models"/>
    <w:p>
      <w:pPr>
        <w:pStyle w:val="Heading1"/>
      </w:pPr>
      <w:r>
        <w:t xml:space="preserve">6. Inference for logistic regression models</w:t>
      </w:r>
    </w:p>
    <w:bookmarkStart w:id="202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01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193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 maximum likelihood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194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195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195"/>
    <w:bookmarkStart w:id="196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196"/>
    <w:bookmarkStart w:id="197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 MLEs,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 confidence interval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</w:t>
      </w:r>
      <w:r>
        <w:t xml:space="preserve"> </w:t>
      </w:r>
      <w:r>
        <w:t xml:space="preserve">(the multiplicative change in odds 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197"/>
    <w:bookmarkStart w:id="200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logistic regression model 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beetles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8"/>
          <w:p/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 odds,</w:t>
      </w:r>
      <w:r>
        <w:t xml:space="preserve"> </w:t>
      </w:r>
      <w:r>
        <w:t xml:space="preserve">while the non-intercept coefficients are odds ratios: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tbl-beetles-wald-te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Exponentiated coefficients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100"/>
              <w:gridCol w:w="2420"/>
              <w:gridCol w:w="88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4.27e-27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2.21e-26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(9.39e-32, 6.56e-23)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7.65e+14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2.23e+15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(3.40e+12, 3.18e+17)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9"/>
          <w:p/>
        </w:tc>
      </w:tr>
    </w:tbl>
    <w:bookmarkEnd w:id="200"/>
    <w:bookmarkEnd w:id="201"/>
    <w:bookmarkEnd w:id="202"/>
    <w:bookmarkStart w:id="219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log-odds,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05" w:name="eq-ci-prob-exp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5"/>
          </w:p>
          <w:bookmarkEnd w:id="20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8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η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0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3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10" w:name="eq-se-sqr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12" w:name="eq-var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bookmarkEnd w:id="213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6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12 (Estimated variance and standard error of log-odds)</w:t>
            </w:r>
          </w:p>
          <w:p>
            <w:pPr>
              <w:pStyle w:val="BodyText"/>
            </w:pPr>
            <w:bookmarkStart w:id="214" w:name="eq-es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4"/>
          </w:p>
          <w:p>
            <w:pPr>
              <w:pStyle w:val="FirstParagraph"/>
            </w:pPr>
            <w:bookmarkStart w:id="215" w:name="eq-est-se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5"/>
          </w:p>
          <w:bookmarkEnd w:id="2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8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rad>
              <m:r>
                <m:rPr>
                  <m:sty m:val="p"/>
                </m:rPr>
                <m:t>=</m:t>
              </m:r>
              <m:r>
                <m:t>0.145056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0.969132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7" w:name="tbl-beetles-pred-logodd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14: Predicted log-odds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30"/>
                    <w:gridCol w:w="1033"/>
                    <w:gridCol w:w="516"/>
                    <w:gridCol w:w="1463"/>
                    <w:gridCol w:w="1463"/>
                    <w:gridCol w:w="602"/>
                    <w:gridCol w:w="1205"/>
                    <w:gridCol w:w="12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logodds_hat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pi_hat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ci_lower_prob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ci_upper_prob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-2.458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0.263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-2.974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-1.942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1.253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0.778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5.136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0.994</w:t>
                        </w:r>
                      </w:p>
                    </w:tc>
                  </w:tr>
                </w:tbl>
                <w:bookmarkEnd w:id="217"/>
                <w:p/>
              </w:tc>
            </w:tr>
          </w:tbl>
          <w:bookmarkEnd w:id="218"/>
          <w:p/>
        </w:tc>
      </w:tr>
    </w:tbl>
    <w:bookmarkEnd w:id="219"/>
    <w:bookmarkStart w:id="236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0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odds ratio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4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221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1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222" w:name="eq-or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2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223" w:name="eq-ci-OR-exp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3"/>
          </w:p>
          <w:bookmarkEnd w:id="22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 natural logarithm 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bookmarkEnd w:id="2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6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, we know: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22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7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0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228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8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9" w:name="eq-var-diff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30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13 (Estimated variance and standard error of difference in log-odds)</w:t>
            </w:r>
          </w:p>
          <w:p>
            <w:pPr>
              <w:pStyle w:val="BodyText"/>
            </w:pPr>
            <w:bookmarkStart w:id="231" w:name="eq-est-var-diff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1"/>
          </w:p>
          <w:p>
            <w:pPr>
              <w:pStyle w:val="FirstParagraph"/>
            </w:pPr>
            <w:bookmarkStart w:id="232" w:name="eq-est-se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2"/>
          </w:p>
          <w:bookmarkEnd w:id="2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 this result with</w:t>
      </w:r>
      <w:r>
        <w:t xml:space="preserve"> </w:t>
      </w:r>
      <w:hyperlink r:id="rId234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5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5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=</m:t>
              </m:r>
              <m:r>
                <m:t>0.291211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3.427033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 </w:t>
            </w:r>
            <w:r>
              <w:t xml:space="preserve">the estimated odds ratio and its 95% confidence interval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3.427033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30.785154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5"/>
          <w:p/>
        </w:tc>
      </w:tr>
    </w:tbl>
    <w:bookmarkEnd w:id="236"/>
    <w:bookmarkEnd w:id="237"/>
    <w:bookmarkStart w:id="301" w:name="multiple-logistic-regression"/>
    <w:p>
      <w:pPr>
        <w:pStyle w:val="Heading1"/>
      </w:pPr>
      <w:r>
        <w:t xml:space="preserve">7. Multiple logistic regression</w:t>
      </w:r>
    </w:p>
    <w:bookmarkStart w:id="241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8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2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9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239"/>
          <w:p/>
        </w:tc>
      </w:tr>
    </w:tbl>
    <w:bookmarkStart w:id="240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240"/>
    <w:bookmarkEnd w:id="241"/>
    <w:bookmarkStart w:id="242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bookmarkEnd w:id="242"/>
    <w:bookmarkStart w:id="245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243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</w:t>
            </w:r>
            <w:r>
              <w:br/>
            </w:r>
            <w:r>
              <w:rPr>
                <w:rStyle w:val="CommentTok"/>
              </w:rPr>
              <w:t xml:space="preserve">#&gt; # A tibble: 3,154 × 22</w:t>
            </w:r>
            <w:r>
              <w:br/>
            </w:r>
            <w:r>
              <w:rPr>
                <w:rStyle w:val="CommentTok"/>
              </w:rPr>
              <w:t xml:space="preserve">#&gt;      age arcus behpat   bmi chd69  chol   dbp dibpat height    id lnsbp lnwght</w:t>
            </w:r>
            <w:r>
              <w:br/>
            </w:r>
            <w:r>
              <w:rPr>
                <w:rStyle w:val="CommentTok"/>
              </w:rPr>
              <w:t xml:space="preserve">#&gt;    &lt;dbl&gt; &lt;lgl&gt; &lt;fct&gt;  &lt;dbl&gt; &lt;fct&gt; &lt;dbl&gt; &lt;dbl&gt; &lt;fct&gt;   &lt;dbl&gt; &lt;dbl&gt; &lt;dbl&gt;  &lt;dbl&gt;</w:t>
            </w:r>
            <w:r>
              <w:br/>
            </w:r>
            <w:r>
              <w:rPr>
                <w:rStyle w:val="CommentTok"/>
              </w:rPr>
              <w:t xml:space="preserve">#&gt;  1    50 TRUE  A1      31.3 No      249    90 Type A     67  2343  4.88   5.30</w:t>
            </w:r>
            <w:r>
              <w:br/>
            </w:r>
            <w:r>
              <w:rPr>
                <w:rStyle w:val="CommentTok"/>
              </w:rPr>
              <w:t xml:space="preserve">#&gt;  2    51 FALSE A1      25.3 No      194    74 Type A     73  3656  4.79   5.26</w:t>
            </w:r>
            <w:r>
              <w:br/>
            </w:r>
            <w:r>
              <w:rPr>
                <w:rStyle w:val="CommentTok"/>
              </w:rPr>
              <w:t xml:space="preserve">#&gt;  3    59 TRUE  A1      28.7 No      258    94 Type A     70  3526  5.06   5.30</w:t>
            </w:r>
            <w:r>
              <w:br/>
            </w:r>
            <w:r>
              <w:rPr>
                <w:rStyle w:val="CommentTok"/>
              </w:rPr>
              <w:t xml:space="preserve">#&gt;  4    51 TRUE  A1      22.1 No      173    80 Type A     69 22057  4.84   5.01</w:t>
            </w:r>
            <w:r>
              <w:br/>
            </w:r>
            <w:r>
              <w:rPr>
                <w:rStyle w:val="CommentTok"/>
              </w:rPr>
              <w:t xml:space="preserve">#&gt;  5    44 FALSE A1      22.3 No      214    80 Type A     71 12927  4.84   5.08</w:t>
            </w:r>
            <w:r>
              <w:br/>
            </w:r>
            <w:r>
              <w:rPr>
                <w:rStyle w:val="CommentTok"/>
              </w:rPr>
              <w:t xml:space="preserve">#&gt;  6    47 FALSE A1      27.1 No      206    76 Type A     64 16029  4.75   5.06</w:t>
            </w:r>
            <w:r>
              <w:br/>
            </w:r>
            <w:r>
              <w:rPr>
                <w:rStyle w:val="CommentTok"/>
              </w:rPr>
              <w:t xml:space="preserve">#&gt;  7    40 FALSE A1      23.2 No      190    78 Type A     70  3894  4.80   5.09</w:t>
            </w:r>
            <w:r>
              <w:br/>
            </w:r>
            <w:r>
              <w:rPr>
                <w:rStyle w:val="CommentTok"/>
              </w:rPr>
              <w:t xml:space="preserve">#&gt;  8    41 FALSE A1      23.0 No      212    84 Type A     70 11389  4.87   5.08</w:t>
            </w:r>
            <w:r>
              <w:br/>
            </w:r>
            <w:r>
              <w:rPr>
                <w:rStyle w:val="CommentTok"/>
              </w:rPr>
              <w:t xml:space="preserve">#&gt;  9    50 TRUE  A1      27.2 No      130    70 Type A     71 12681  4.72   5.27</w:t>
            </w:r>
            <w:r>
              <w:br/>
            </w:r>
            <w:r>
              <w:rPr>
                <w:rStyle w:val="CommentTok"/>
              </w:rPr>
              <w:t xml:space="preserve">#&gt; 10    43 FALSE A1      28.4 No      233    80 Type A     68 10005  4.79   5.23</w:t>
            </w:r>
            <w:r>
              <w:br/>
            </w:r>
            <w:r>
              <w:rPr>
                <w:rStyle w:val="CommentTok"/>
              </w:rPr>
              <w:t xml:space="preserve">#&gt; # ℹ 3,144 more rows</w:t>
            </w:r>
            <w:r>
              <w:br/>
            </w:r>
            <w:r>
              <w:rPr>
                <w:rStyle w:val="CommentTok"/>
              </w:rPr>
              <w:t xml:space="preserve">#&gt; # ℹ 10 more variables: ncigs &lt;dbl&gt;, sbp &lt;dbl&gt;, smoke &lt;fct&gt;, t1 &lt;dbl&gt;,</w:t>
            </w:r>
            <w:r>
              <w:br/>
            </w:r>
            <w:r>
              <w:rPr>
                <w:rStyle w:val="CommentTok"/>
              </w:rPr>
              <w:t xml:space="preserve">#&gt; #   time169 &lt;dbl&gt;, typchd69 &lt;fct&gt;, uni &lt;dbl&gt;, weight &lt;dbl&gt;, wghtcat &lt;fct&gt;,</w:t>
            </w:r>
            <w:r>
              <w:br/>
            </w:r>
            <w:r>
              <w:rPr>
                <w:rStyle w:val="CommentTok"/>
              </w:rPr>
              <w:t xml:space="preserve">#&gt; #   agec &lt;fct&gt;</w:t>
            </w:r>
          </w:p>
          <w:bookmarkEnd w:id="244"/>
        </w:tc>
      </w:tr>
    </w:tbl>
    <w:bookmarkEnd w:id="245"/>
    <w:bookmarkStart w:id="246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246"/>
    <w:bookmarkStart w:id="248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tbl-wcgs-de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Baseline characteristics by CHD status at end of follow-up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all_of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"uni"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"chd69"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"Missing"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separate_p_footnotes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(41.0,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49.0 (44.0, 53.0)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Arcus Senilis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941 (30%)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839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1,177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148 (58%)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1,155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Body Mass Index (kg/m2)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(22.89,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24.82 (23.63, 26.50)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Total Cholesterol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(195, 250)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245 (222, 276)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(80, 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1,486 (51%)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1,411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(69%)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Height (inches)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(4.79,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(4.77,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4.87 (4.82, 4.97)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Weight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5.14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5.13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5.16 (5.09, 5.22)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(0, 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(118,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130 (124, 144)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Observation (follow up) time (days)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2,942 (2,842, 3,037)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2,952 (2,864, 3,048)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1,666 (934, 2,400)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Type of CHD Event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infdeath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(92%)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silent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(4.3%)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angina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169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(162, 185)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217 (7.5%)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1,440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1,049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122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(6.6%)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RECODE of age (Age)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543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512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41-45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1,091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1,036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46-50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750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680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51-55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56-60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242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  <w:r>
                    <w:rPr>
                      <w:rFonts w:ascii="Calibri" w:hAnsi="Calibri"/>
                      <w:sz w:val="20"/>
                    </w:rPr>
                    <w:t xml:space="preserve">Fisher's exact test</w:t>
                  </w:r>
                </w:p>
              </w:tc>
            </w:tr>
          </w:tbl>
          <w:bookmarkEnd w:id="247"/>
        </w:tc>
      </w:tr>
    </w:tbl>
    <w:bookmarkEnd w:id="248"/>
    <w:bookmarkStart w:id="249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 interaction 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249"/>
    <w:bookmarkStart w:id="254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hd-graph-prob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graph-prob-scale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CHD rates by age group, probability scale</w:t>
            </w:r>
          </w:p>
          <w:bookmarkEnd w:id="253"/>
        </w:tc>
      </w:tr>
    </w:tbl>
    <w:bookmarkEnd w:id="254"/>
    <w:bookmarkStart w:id="259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hd-odds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odds-scale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CHD rates by age group, odds spacing</w:t>
            </w:r>
          </w:p>
          <w:bookmarkEnd w:id="258"/>
        </w:tc>
      </w:tr>
    </w:tbl>
    <w:bookmarkEnd w:id="259"/>
    <w:bookmarkStart w:id="300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hd_plot_log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_plot_logit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CHD data (logit-scale)</w:t>
            </w:r>
          </w:p>
          <w:bookmarkEnd w:id="263"/>
        </w:tc>
      </w:tr>
    </w:tbl>
    <w:bookmarkStart w:id="265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 interaction: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P</m:t>
        </m:r>
        <m:r>
          <m:t>A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264" w:name="eq-wcgs-model-1"/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r>
                <m:t>p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  <m:r>
                <m:t>p</m:t>
              </m:r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81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 odds,</w:t>
      </w:r>
      <w:r>
        <w:t xml:space="preserve"> </w:t>
      </w:r>
      <w:r>
        <w:t xml:space="preserve">log-odds).</w:t>
      </w:r>
    </w:p>
    <w:bookmarkStart w:id="270" w:name="probability-scale"/>
    <w:p>
      <w:pPr>
        <w:pStyle w:val="Heading4"/>
      </w:pPr>
      <w:r>
        <w:t xml:space="preserve">probability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fig-fitted-probs-ch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curve_type_A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curve_type_B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chd_plot_probs_2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chd_plot_probs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(chd_plot_probs_2)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Fitted CHD risk by age and behavior pattern (probability scale)</w:t>
            </w:r>
          </w:p>
          <w:bookmarkEnd w:id="269"/>
        </w:tc>
      </w:tr>
    </w:tbl>
    <w:bookmarkEnd w:id="270"/>
    <w:bookmarkStart w:id="275" w:name="odds-scale-1"/>
    <w:p>
      <w:pPr>
        <w:pStyle w:val="Heading4"/>
      </w:pPr>
      <w:r>
        <w:t xml:space="preserve">odds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fitted-odds-chd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chd_plot_odds_2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chd_plot_odds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(chd_plot_odds_2)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2-1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Fitted CHD odds by age and behavior pattern (odds scale)</w:t>
            </w:r>
          </w:p>
          <w:bookmarkEnd w:id="274"/>
        </w:tc>
      </w:tr>
    </w:tbl>
    <w:bookmarkEnd w:id="275"/>
    <w:bookmarkStart w:id="280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fitted-log-odds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chd_plot_logit_2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chd_plot_logit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(chd_plot_logit_2)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3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Fitted CHD log-odds by age and behavior pattern (log-odds scale)</w:t>
            </w:r>
          </w:p>
          <w:bookmarkEnd w:id="279"/>
        </w:tc>
      </w:tr>
    </w:tbl>
    <w:bookmarkEnd w:id="280"/>
    <w:bookmarkEnd w:id="281"/>
    <w:bookmarkStart w:id="288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2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 odds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log-odds 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21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 linear predictor</w:t>
            </w:r>
            <w:r>
              <w:rPr>
                <w:i/>
                <w:iCs/>
              </w:rP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rPr>
                <w:i/>
                <w:iCs/>
              </w:rPr>
              <w:t xml:space="preserve">.)</w:t>
            </w:r>
          </w:p>
          <w:bookmarkEnd w:id="2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6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3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3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natural logarithm of the odds (</w:t>
            </w:r>
            <w:r>
              <w:t xml:space="preserve">“log-odds”</w:t>
            </w:r>
            <w:r>
              <w:t xml:space="preserve">) of experiencing CHD for a 0 year-old person with a type B personality; 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4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4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terms of finite differences,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odds ratio 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specifically,</w:t>
            </w:r>
          </w:p>
          <w:p>
            <w:pPr>
              <w:pStyle w:val="BodyText"/>
            </w:pPr>
            <w:bookmarkStart w:id="285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5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specifically,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slope difference implies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specifically,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86"/>
          <w:p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87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288"/>
    <w:bookmarkStart w:id="291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tbl-model-corner-poi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CHD model (corner-point parametrization)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89"/>
          <w:p/>
        </w:tc>
      </w:tr>
    </w:tbl>
    <w:p>
      <w:pPr>
        <w:pStyle w:val="BodyText"/>
      </w:pPr>
      <w:r>
        <w:t xml:space="preserve">We can get the corresponding odds ratio 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0" w:name="tbl-chd-glm-contra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(0.13, 13.88)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(0.96, 1.06)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90"/>
          <w:p/>
        </w:tc>
      </w:tr>
    </w:tbl>
    <w:bookmarkEnd w:id="291"/>
    <w:bookmarkStart w:id="299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tbl-chd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CHD model, stratified parametrization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(-6.83, -4.19)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2"/>
          <w:p/>
        </w:tc>
      </w:tr>
    </w:tbl>
    <w:p>
      <w:pPr>
        <w:pStyle w:val="BodyText"/>
      </w:pPr>
      <w:r>
        <w:t xml:space="preserve">Again, we can get the corresponding odds ratios 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tbl-chd-glm-strat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4.09e-03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(1.08e-03,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3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4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2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8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295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5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96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6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297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7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298"/>
          <w:p/>
        </w:tc>
      </w:tr>
    </w:tbl>
    <w:bookmarkEnd w:id="299"/>
    <w:bookmarkEnd w:id="300"/>
    <w:bookmarkEnd w:id="301"/>
    <w:bookmarkStart w:id="321" w:name="sec-gof"/>
    <w:p>
      <w:pPr>
        <w:pStyle w:val="Heading1"/>
      </w:pPr>
      <w:r>
        <w:t xml:space="preserve">8. Model comparisons for logistic models</w:t>
      </w:r>
    </w:p>
    <w:bookmarkStart w:id="307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test)</w:t>
            </w:r>
            <w:r>
              <w:t xml:space="preserve"> </w:t>
            </w:r>
            <w:r>
              <w:t xml:space="preserve">We can compare the maximized log-likelihood 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distribution;</w:t>
            </w:r>
            <w:r>
              <w:t xml:space="preserve"> </w:t>
            </w:r>
            <w:r>
              <w:t xml:space="preserve">a significant p-value for this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3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 deviance tests to assess goodness of fit.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6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6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 deviance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306"/>
          <w:p/>
        </w:tc>
      </w:tr>
    </w:tbl>
    <w:bookmarkEnd w:id="307"/>
    <w:bookmarkStart w:id="312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(1980)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Hosmer-Lemeshow 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 p-value 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(1997)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1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7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 p-value 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311"/>
          <w:p/>
        </w:tc>
      </w:tr>
    </w:tbl>
    <w:bookmarkEnd w:id="312"/>
    <w:bookmarkStart w:id="320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(Akaike 1974)</w:t>
      </w:r>
      <w:r>
        <w:t xml:space="preserve"> </w:t>
      </w:r>
      <w:r>
        <w:t xml:space="preserve">(see</w:t>
      </w:r>
      <w:r>
        <w:t xml:space="preserve"> </w:t>
      </w:r>
      <w:hyperlink r:id="rId313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(Schwarz 1978)</w:t>
      </w:r>
      <w:r>
        <w:t xml:space="preserve"> </w:t>
      </w:r>
      <w:r>
        <w:t xml:space="preserve">(see</w:t>
      </w:r>
      <w:r>
        <w:t xml:space="preserve"> </w:t>
      </w:r>
      <w:hyperlink r:id="rId314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 log-likelihood 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 likelihood ratio test 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6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(LRT))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 maximum likelihood estimates</w:t>
            </w:r>
            <w:r>
              <w:t xml:space="preserve"> </w:t>
            </w:r>
            <w:r>
              <w:t xml:space="preserve">of the full and reduced models, respectively.</w:t>
            </w:r>
            <w:r>
              <w:t xml:space="preserve"> </w:t>
            </w:r>
            <w:r>
              <w:t xml:space="preserve">Under the null hypothesis that the reduced model is adequate,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316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317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8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r>
              <w:t xml:space="preserve">interaction term.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 likelihood ratio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r>
              <w:t xml:space="preserve">AIC and BIC 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319"/>
          <w:p/>
        </w:tc>
      </w:tr>
    </w:tbl>
    <w:bookmarkEnd w:id="320"/>
    <w:bookmarkEnd w:id="321"/>
    <w:bookmarkStart w:id="383" w:name="residual-based-diagnostics"/>
    <w:p>
      <w:pPr>
        <w:pStyle w:val="Heading1"/>
      </w:pPr>
      <w:r>
        <w:t xml:space="preserve">9. Residual-based diagnostics</w:t>
      </w:r>
    </w:p>
    <w:bookmarkStart w:id="33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 leverage 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(1981)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(2018, chap. 7)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chap. 5)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resid-dx-wcgs-ungroupe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resid-dx-wcgs-ungrouped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Residual diagnostics for WCGS model with individual-level observations</w:t>
            </w:r>
          </w:p>
          <w:bookmarkEnd w:id="325"/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tbl-chd-model-wcgs-grouped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26"/>
          <w:p/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0" w:name="fig-wcgs-model-grouped-dat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wcgs-model-grouped-data-1.png" id="3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bookmarkEnd w:id="33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4"/>
    <w:bookmarkStart w:id="34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7</w:t>
            </w:r>
            <w:r>
              <w:t xml:space="preserve"> </w:t>
            </w:r>
            <w:r>
              <w:t xml:space="preserve"> </w:t>
            </w:r>
          </w:p>
          <w:bookmarkStart w:id="33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335"/>
          <w:bookmarkEnd w:id="3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9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 fitted values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337" w:name="annotated-cell-78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33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fig-wcgs-resid-manua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resid-manual-1.png" id="3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residuals plot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model</w:t>
                  </w:r>
                </w:p>
                <w:bookmarkEnd w:id="341"/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 variance 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342"/>
          <w:p/>
        </w:tc>
      </w:tr>
    </w:tbl>
    <w:bookmarkEnd w:id="343"/>
    <w:bookmarkStart w:id="365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 response residuals plot isn’t necessarily a concern</w:t>
      </w:r>
      <w:r>
        <w:t xml:space="preserve"> </w:t>
      </w:r>
      <w:r>
        <w:t xml:space="preserve">here, since we haven’t made an assumption of constant residual variance,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 standard error 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8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10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 fitted values on the logit 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34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3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34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11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 logit 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352"/>
          <w:p/>
        </w:tc>
      </w:tr>
    </w:tbl>
    <w:bookmarkStart w:id="35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5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r>
        <w:t xml:space="preserve">logistic regression residuals only work for grouped data,</w:t>
      </w:r>
      <w:r>
        <w:t xml:space="preserve"> </w:t>
      </w:r>
      <w:r>
        <w:t xml:space="preserve">with multiple observations per covariate pattern.</w:t>
      </w:r>
    </w:p>
    <w:bookmarkEnd w:id="356"/>
    <w:bookmarkStart w:id="36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35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0"/>
    <w:bookmarkStart w:id="364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 null hypothesis 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 p-value for this test is 0.265236; 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9 (Leverage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diagonal matrix of binomial weights,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1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3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3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10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 leverage 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 variance 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363"/>
        </w:tc>
      </w:tr>
    </w:tbl>
    <w:bookmarkEnd w:id="364"/>
    <w:bookmarkEnd w:id="365"/>
    <w:bookmarkStart w:id="368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 deviance residuals 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r>
        <w:t xml:space="preserve">variance).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6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11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saturated model’s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</m:oMath>
            </m:oMathPara>
          </w:p>
          <w:bookmarkEnd w:id="366"/>
        </w:tc>
      </w:tr>
    </w:tbl>
    <w:bookmarkStart w:id="367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we can adjust the deviance residual for leverage: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67"/>
    <w:bookmarkEnd w:id="368"/>
    <w:bookmarkStart w:id="382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1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12</w:t>
            </w:r>
            <w:r>
              <w:t xml:space="preserve"> </w:t>
            </w:r>
            <w:r>
              <w:t xml:space="preserve"> </w:t>
            </w:r>
          </w:p>
          <w:bookmarkStart w:id="370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  <w:r>
              <w:t xml:space="preserve">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9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370"/>
          <w:bookmarkEnd w:id="3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6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12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5" w:name="fig-chd-model-diagnostic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model-diagnostics-1.png" id="3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Diagnostics for CHD model</w:t>
                  </w:r>
                </w:p>
                <w:bookmarkEnd w:id="375"/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37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1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13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0" w:name="fig-beetles-glm-dia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beetles-glm-diag-1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Diagnostics for logistic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BeetleMortality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80"/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381"/>
          <w:p/>
        </w:tc>
      </w:tr>
    </w:tbl>
    <w:bookmarkEnd w:id="382"/>
    <w:bookmarkEnd w:id="383"/>
    <w:bookmarkStart w:id="503" w:name="alternatives-to-reporting-odds-ratios"/>
    <w:p>
      <w:pPr>
        <w:pStyle w:val="Heading1"/>
      </w:pPr>
      <w:r>
        <w:t xml:space="preserve">10. Alternatives to reporting odds ratios</w:t>
      </w:r>
    </w:p>
    <w:bookmarkStart w:id="391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 odds ratios 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(Sackett et al. 1996; Norton et al. 2024)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384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 risk difference,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 risk ratios,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 logistic regression model,</w:t>
      </w:r>
      <w:r>
        <w:t xml:space="preserve"> </w:t>
      </w:r>
      <w:r>
        <w:t xml:space="preserve">even when those covariates are independent 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5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385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 expectation 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 link function: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6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386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8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390"/>
          <w:p/>
        </w:tc>
      </w:tr>
    </w:tbl>
    <w:bookmarkEnd w:id="391"/>
    <w:bookmarkStart w:id="474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 risk differences or risk ratios instead of odds ratios,</w:t>
      </w:r>
      <w:r>
        <w:t xml:space="preserve"> </w:t>
      </w:r>
      <w:r>
        <w:t xml:space="preserve">you can obtain estimates from logistic regression models,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442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401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 risk ratios or risk differences from logistic regression models: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95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396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396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13 (Conditional predicted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41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8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9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0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14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values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400"/>
          <w:p/>
        </w:tc>
      </w:tr>
    </w:tbl>
    <w:bookmarkEnd w:id="401"/>
    <w:bookmarkStart w:id="440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 risk differences and risk ratios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2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16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3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15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observed marginal risk 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simply the proportion of them who developed CHD by 1969: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403"/>
          <w:p/>
        </w:tc>
      </w:tr>
    </w:tbl>
    <w:p>
      <w:pPr>
        <w:pStyle w:val="FirstParagraph"/>
      </w:pPr>
      <w:r>
        <w:t xml:space="preserve">This definition 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4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14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0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5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16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4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408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412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408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 estimands 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3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17 (Potential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expected value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4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4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17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 potential mean 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414"/>
          <w:p/>
        </w:tc>
      </w:tr>
    </w:tbl>
    <w:p>
      <w:pPr>
        <w:pStyle w:val="BodyText"/>
      </w:pPr>
      <w:r>
        <w:t xml:space="preserve">For a binary outcome,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5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(Causal marginal risk)</w:t>
            </w:r>
            <w:r>
              <w:t xml:space="preserve"> </w:t>
            </w:r>
            <w:r>
              <w:t xml:space="preserve">For a binary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15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6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18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 causal marginal risk 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4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7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15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8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19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 potential mean as an expectation 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18"/>
          <w:p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409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410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11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9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16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 expectation 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 potential outcome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0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20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causal marginal risk differs (slightly) from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420"/>
          <w:p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1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r>
              <w:rPr>
                <w:b/>
                <w:bCs/>
              </w:rPr>
              <w:t xml:space="preserve">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 confounding).</w:t>
            </w:r>
          </w:p>
          <w:p>
            <w:pPr>
              <w:pStyle w:val="BodyText"/>
            </w:pPr>
            <w:r>
              <w:t xml:space="preserve">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4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2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9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 causal marginal risks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 marginal distributions 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2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(Hernán and Robins 2020, chaps. 2–3)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3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21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marginal risk 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423"/>
          <w:p/>
        </w:tc>
      </w:tr>
    </w:tbl>
    <w:p>
      <w:pPr>
        <w:pStyle w:val="BodyText"/>
      </w:pPr>
      <w:r>
        <w:t xml:space="preserve">Two related procedures estimate these marginal risks from a fitted regression model: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4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19 (G-computation)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(Robins 1986; see also Hernán and Robins 2020, chap. 13)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424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5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22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425"/>
          <w:p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6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17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 i.i.d. 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 MLE consistency for a correctly specified GLM; see</w:t>
            </w:r>
            <w:r>
              <w:t xml:space="preserve"> </w:t>
            </w:r>
            <w:r>
              <w:t xml:space="preserve">Agresti (2015)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 estimator 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assumption,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Write the fitted and true risks as the logistic link of the linear predictor,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 derivative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[Cauchy–Schwarz]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condition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 marginal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identifies this expectation</w:t>
                  </w:r>
                  <w:r>
                    <w:t xml:space="preserve"> </w:t>
                  </w:r>
                  <w:r>
                    <w:t xml:space="preserve">with the causal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6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is a realization of the estimator this theorem 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7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20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(the term is due to Graubard and Korn 1999; Lane and Nelder 1982 develop the underlying standardization-as-prediction framework)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 estimand the margin targets;</w:t>
            </w:r>
            <w:r>
              <w:t xml:space="preserve"> </w:t>
            </w:r>
            <w:r>
              <w:t xml:space="preserve">the two standard choices each have their own name.</w:t>
            </w:r>
            <w:r>
              <w:t xml:space="preserve">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4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21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4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23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g-computation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429"/>
          <w:p/>
        </w:tc>
      </w:tr>
    </w:tbl>
    <w:p>
      <w:pPr>
        <w:pStyle w:val="BodyText"/>
      </w:pPr>
      <w:r>
        <w:t xml:space="preserve">Because the full-sample predictive margin is defined identically</w:t>
      </w:r>
      <w:r>
        <w:t xml:space="preserve"> </w:t>
      </w:r>
      <w:r>
        <w:t xml:space="preserve">to the g-computation estimator (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10 (Full-sample predictive margin estimates the causal marginal risk)</w:t>
            </w:r>
            <w:r>
              <w:t xml:space="preserve"> </w:t>
            </w:r>
            <w:r>
              <w:t xml:space="preserve">The full-sample predictive margin 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 estimator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19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430"/>
        </w:tc>
      </w:tr>
    </w:tbl>
    <w:p>
      <w:pPr>
        <w:pStyle w:val="BodyText"/>
      </w:pPr>
      <w:r>
        <w:t xml:space="preserve">The WCGS predictive margin 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is therefore consistent for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this corollary.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22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4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24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4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3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18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 i.i.d. 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exposed-subgroup predictive margin 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identifies this conditional expectation</w:t>
                  </w:r>
                  <w:r>
                    <w:t xml:space="preserve"> </w:t>
                  </w:r>
                  <w:r>
                    <w:t xml:space="preserve">with the observed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33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this theorem.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4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 categorical covariate,</w:t>
            </w:r>
            <w:r>
              <w:t xml:space="preserve"> </w:t>
            </w:r>
            <w:r>
              <w:t xml:space="preserve">the exposed-subgroup predictive margin 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 score equations 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 reference level,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434"/>
        </w:tc>
      </w:tr>
    </w:tbl>
    <w:p>
      <w:pPr>
        <w:pStyle w:val="BodyText"/>
      </w:pPr>
      <w:r>
        <w:t xml:space="preserve">The following example applies these predictive margins to the same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5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25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 sample proportion 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 exposed-subgroup predictive margin 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 g-computation adjusts for this difference.</w:t>
            </w:r>
          </w:p>
          <w:bookmarkEnd w:id="435"/>
          <w:p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23 (Observed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7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26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8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24 (Causal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4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9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27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9"/>
          <w:p/>
        </w:tc>
      </w:tr>
    </w:tbl>
    <w:bookmarkEnd w:id="440"/>
    <w:bookmarkStart w:id="441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 risk difference or risk ratio estimates</w:t>
      </w:r>
      <w:r>
        <w:t xml:space="preserve"> </w:t>
      </w:r>
      <w:r>
        <w:t xml:space="preserve">derived from logistic regression models</w:t>
      </w:r>
      <w:r>
        <w:t xml:space="preserve"> </w:t>
      </w:r>
      <w:r>
        <w:t xml:space="preserve">(e.g., to calculate SEs, CIs, and p-values),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441"/>
    <w:bookmarkEnd w:id="442"/>
    <w:bookmarkStart w:id="458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p. 62)</w:t>
      </w:r>
      <w:r>
        <w:t xml:space="preserve">,</w:t>
      </w:r>
      <w:r>
        <w:t xml:space="preserve"> </w:t>
      </w:r>
      <w:r>
        <w:t xml:space="preserve">(Hastie et al. 2009, sec. 7.11)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(James et al. 2021, chap. 5, Section 5.2)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(1979)</w:t>
      </w:r>
      <w:r>
        <w:t xml:space="preserve">;</w:t>
      </w:r>
      <w:r>
        <w:t xml:space="preserve"> </w:t>
      </w:r>
      <w:r>
        <w:t xml:space="preserve">Efron and Tibshirani (1993)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4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(Bootstrap algorithm for a marginal risk difference)</w:t>
            </w:r>
            <w:r>
              <w:t xml:space="preserve"> </w:t>
            </w:r>
            <w:r>
              <w:t xml:space="preserve">To construct a bootstrap confidence interval</w:t>
            </w:r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4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5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28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 logistic regression model.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445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445"/>
          <w:bookmarkStart w:id="446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 g-computation 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27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446"/>
          <w:bookmarkStart w:id="448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 standard error and construct a 95% confidence interval.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 estimator</w:t>
            </w:r>
            <w:r>
              <w:t xml:space="preserve"> </w:t>
            </w:r>
            <w:r>
              <w:t xml:space="preserve">(Efron and Tibshirani 1993, chap. 6)</w:t>
            </w:r>
            <w:r>
              <w:t xml:space="preserve">.</w:t>
            </w:r>
            <w:r>
              <w:t xml:space="preserve"> </w:t>
            </w:r>
            <w:r>
              <w:t xml:space="preserve">(An alternative would fix the covariates at the observed values,</w:t>
            </w:r>
            <w:r>
              <w:t xml:space="preserve"> </w:t>
            </w:r>
            <w:r>
              <w:t xml:space="preserve">but is less common for g-computation 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7" w:name="tbl-marginal-rd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 Causal marginal risk difference (CMRD) for Type A vs Type B behavioral pattern</w:t>
                  </w:r>
                  <w:r>
                    <w:t xml:space="preserve"> </w:t>
                  </w:r>
                  <w:r>
                    <w:t xml:space="preserve">(adjusted for age) via g-computation,</w:t>
                  </w:r>
                  <w:r>
                    <w:t xml:space="preserve"> </w:t>
                  </w:r>
                  <w:r>
                    <w:t xml:space="preserve">with bootstrap standard error and 95% confidence interval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Estimate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Std. Error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boot_se,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Lower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Upper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ci_upper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digits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Estimate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Std. Error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0.0562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0.0732</w:t>
                        </w:r>
                      </w:p>
                    </w:tc>
                  </w:tr>
                </w:tbl>
                <w:bookmarkEnd w:id="447"/>
                <w:p/>
              </w:tc>
            </w:tr>
          </w:tbl>
          <w:bookmarkEnd w:id="448"/>
          <w:bookmarkStart w:id="453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 bootstrap distribution</w:t>
            </w:r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2" w:name="fig-bootstrap-dis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boot_rd =</w:t>
                  </w:r>
                  <w:r>
                    <w:rPr>
                      <w:rStyle w:val="NormalTok"/>
                    </w:rPr>
                    <w:t xml:space="preserve"> boot_estimates)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boot_rd)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ci_upper,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Marginal 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Distribution of Causal Marginal Risk Difference"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048000"/>
                        <wp:effectExtent b="0" l="0" r="0" t="0"/>
                        <wp:docPr descr="" title="" id="4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3-1.png" id="4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048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Bootstrap distribution of the marginal risk difference</w:t>
                  </w:r>
                  <w:r>
                    <w:t xml:space="preserve"> </w:t>
                  </w:r>
                  <w:r>
                    <w:t xml:space="preserve">(Type A vs Type B behavioral pattern, adjusted for age).</w:t>
                  </w:r>
                  <w:r>
                    <w:t xml:space="preserve"> </w:t>
                  </w:r>
                  <w:r>
                    <w:t xml:space="preserve">Red dashed line: point estimate.</w:t>
                  </w:r>
                  <w:r>
                    <w:t xml:space="preserve"> </w:t>
                  </w:r>
                  <w:r>
                    <w:t xml:space="preserve">Green dotted lines: 95% CI bounds.</w:t>
                  </w:r>
                </w:p>
                <w:bookmarkEnd w:id="452"/>
              </w:tc>
            </w:tr>
          </w:tbl>
          <w:bookmarkEnd w:id="453"/>
          <w:bookmarkStart w:id="454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 bootstrap samples,</w:t>
            </w:r>
            <w:r>
              <w:t xml:space="preserve"> </w:t>
            </w:r>
            <w:r>
              <w:t xml:space="preserve">the displayed standard error and confidence interval 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 risk difference magnitude.</w:t>
            </w:r>
          </w:p>
          <w:bookmarkEnd w:id="454"/>
          <w:bookmarkEnd w:id="455"/>
          <w:p/>
        </w:tc>
      </w:tr>
    </w:tbl>
    <w:bookmarkStart w:id="457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 confidence interval 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457"/>
    <w:bookmarkEnd w:id="458"/>
    <w:bookmarkStart w:id="463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26 (Observed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4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0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29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1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27 (Causal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4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2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30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2"/>
          <w:p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463"/>
    <w:bookmarkStart w:id="473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5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28 (Collapsibility)</w:t>
            </w:r>
            <w:r>
              <w:t xml:space="preserve"> </w:t>
            </w:r>
            <w:r>
              <w:t xml:space="preserve">An estimand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464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4"/>
          </w:p>
          <w:p>
            <w:pPr>
              <w:pStyle w:val="FirstParagraph"/>
            </w:pP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465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466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42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7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19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estimands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 collapsible;</w:t>
            </w:r>
            <w:r>
              <w:t xml:space="preserve"> </w:t>
            </w:r>
            <w:r>
              <w:t xml:space="preserve">ratio and log-odds 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 confounding).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 expectation,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31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 odds ratio</w:t>
                  </w:r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44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4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31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standardization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 conditional risk differences 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 risk ratio’s discrepancy only shows up in the fourth decimal place here,</w:t>
            </w:r>
            <w:r>
              <w:t xml:space="preserve"> </w:t>
            </w:r>
            <w:r>
              <w:t xml:space="preserve">because the conditional risk ratios 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 conditional odds ratios 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 risk difference.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(Hernán and Robins 2020, chap. 4; Greenland et al. 1999; Greenland and Robins 1986)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468"/>
          <w:p/>
        </w:tc>
      </w:tr>
    </w:tbl>
    <w:bookmarkStart w:id="472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43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r>
        <w:t xml:space="preserve">Risk differences are</w:t>
      </w:r>
      <w:r>
        <w:t xml:space="preserve"> </w:t>
      </w:r>
      <w:r>
        <w:rPr>
          <w:b/>
          <w:bCs/>
        </w:rPr>
        <w:t xml:space="preserve">collapsible</w:t>
      </w:r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 marginal distribution</w:t>
      </w:r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469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469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Risk ratios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 expectations is not the same as an expectation of ratios:</w:t>
      </w:r>
    </w:p>
    <w:p>
      <w:pPr>
        <w:pStyle w:val="BodyText"/>
      </w:pPr>
      <w:bookmarkStart w:id="470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470"/>
    </w:p>
    <w:p>
      <w:pPr>
        <w:numPr>
          <w:ilvl w:val="0"/>
          <w:numId w:val="1000"/>
        </w:numPr>
      </w:pPr>
      <w:r>
        <w:t xml:space="preserve">Unlike the odds ratio,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 conditional risk ratio 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(Hernán and Robins 2020, chap. 4; Greenland et al. 1999; Greenland and Robins 1986)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 confidence interval needs more bootstrap resamples than a standard error,</w:t>
      </w:r>
      <w:r>
        <w:t xml:space="preserve"> </w:t>
      </w:r>
      <w:r>
        <w:t xml:space="preserve">because it depends on the tails of the bootstrap distribution</w:t>
      </w:r>
      <w:r>
        <w:t xml:space="preserve"> </w:t>
      </w:r>
      <w:r>
        <w:t xml:space="preserve">rather than just its spread</w:t>
      </w:r>
      <w:r>
        <w:t xml:space="preserve"> </w:t>
      </w:r>
      <w:r>
        <w:t xml:space="preserve">(Efron and Tibshirani 1993, chap. 6; Davison and Hinkley 1997, chap. 2)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471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472"/>
    <w:bookmarkEnd w:id="473"/>
    <w:bookmarkEnd w:id="474"/>
    <w:bookmarkStart w:id="499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 risk ratios more directly from the model,</w:t>
      </w:r>
      <w:r>
        <w:t xml:space="preserve"> </w:t>
      </w:r>
      <w:r>
        <w:t xml:space="preserve">you can sometimes change the link function 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475"/>
      </w:r>
      <w:r>
        <w:t xml:space="preserve">,</w:t>
      </w:r>
      <w:r>
        <w:t xml:space="preserve"> </w:t>
      </w:r>
      <w:r>
        <w:t xml:space="preserve">just like we did for odds ratios with the logit 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9" w:name="fig-anthers-fitted-scal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anthers_fitted_grid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storage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(anthers_glm_logit,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 function"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anthers_observed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anthers_sum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proportion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anthers_fitted_grid,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Link function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anthers_observed,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proportion),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"Storage condition"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 probability of germination"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7-1.png" id="4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Fitted germination probabilities from the log-link and logit-link models for the</w:t>
            </w:r>
            <w:r>
              <w:t xml:space="preserve"> </w:t>
            </w:r>
            <w:r>
              <w:rPr>
                <w:rStyle w:val="VerbatimChar"/>
              </w:rPr>
              <w:t xml:space="preserve">anthers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the observed proportions as points.</w:t>
            </w:r>
            <w:r>
              <w:t xml:space="preserve"> </w:t>
            </w:r>
            <w:r>
              <w:t xml:space="preserve">The two link functions nearly coincide here because the model is saturated</w:t>
            </w:r>
            <w:r>
              <w:t xml:space="preserve"> </w:t>
            </w:r>
            <w:r>
              <w:t xml:space="preserve">(two parameters fit to two storage conditions),</w:t>
            </w:r>
            <w:r>
              <w:t xml:space="preserve"> </w:t>
            </w:r>
            <w:r>
              <w:t xml:space="preserve">so both reproduce the observed proportions at the data points</w:t>
            </w:r>
            <w:r>
              <w:t xml:space="preserve"> </w:t>
            </w:r>
            <w:r>
              <w:t xml:space="preserve">and differ only slightly in between.</w:t>
            </w:r>
          </w:p>
          <w:bookmarkEnd w:id="479"/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 regression model</w:t>
      </w:r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substitution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 binary outcomes.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498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bookmarkStart w:id="488" w:name="fig-diagnostics-glm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3" w:name="fig-diagnostics-glm1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wcgs_glm_logit_link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9-1.png" id="4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8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7" w:name="fig-diagnostics-glm1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wcgs_glm_identity_link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0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8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vs Fitted plot for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models</w:t>
      </w:r>
    </w:p>
    <w:bookmarkEnd w:id="488"/>
    <w:p>
      <w:pPr>
        <w:pStyle w:val="BodyText"/>
      </w:pPr>
      <w:r>
        <w:t xml:space="preserve"> </w:t>
      </w:r>
    </w:p>
    <w:bookmarkStart w:id="497" w:name="fig-diagnostics-beetl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2" w:name="fig-diagnostics-beetles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resid_logit =</w:t>
                  </w:r>
                  <w:r>
                    <w:rPr>
                      <w:rStyle w:val="NormalTok"/>
                    </w:rPr>
                    <w:t xml:space="preserve">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1-1.png" id="4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6" w:name="fig-diagnostics-beetles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2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20: Residuals vs Fitted plot for</w:t>
      </w:r>
      <w:r>
        <w:t xml:space="preserve"> </w:t>
      </w:r>
      <w:r>
        <w:rPr>
          <w:rStyle w:val="VerbatimChar"/>
        </w:rPr>
        <w:t xml:space="preserve">BeetleMortality</w:t>
      </w:r>
      <w:r>
        <w:t xml:space="preserve"> </w:t>
      </w:r>
      <w:r>
        <w:t xml:space="preserve">models</w:t>
      </w:r>
    </w:p>
    <w:bookmarkEnd w:id="497"/>
    <w:bookmarkEnd w:id="498"/>
    <w:bookmarkEnd w:id="499"/>
    <w:bookmarkStart w:id="502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50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501">
        <w:r>
          <w:rPr>
            <w:rStyle w:val="Hyperlink"/>
          </w:rPr>
          <w:t xml:space="preserve">lecture notes</w:t>
        </w:r>
      </w:hyperlink>
    </w:p>
    <w:bookmarkEnd w:id="502"/>
    <w:bookmarkEnd w:id="503"/>
    <w:bookmarkStart w:id="504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(2013)</w:t>
      </w:r>
      <w:r>
        <w:t xml:space="preserve"> </w:t>
      </w:r>
      <w:r>
        <w:t xml:space="preserve">is a classic textbook on logistic regression</w:t>
      </w:r>
    </w:p>
    <w:bookmarkEnd w:id="504"/>
    <w:bookmarkStart w:id="506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5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r>
              <w:rPr>
                <w:b/>
                <w:bCs/>
              </w:rPr>
              <w:t xml:space="preserve">logit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 binary outcomes?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5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probability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exponential expression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 exponential function is increasing,</w:t>
            </w:r>
            <w:r>
              <w:t xml:space="preserve"> </w:t>
            </w:r>
            <w:r>
              <w:t xml:space="preserve">this requirement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 odds ratios 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(2012, chap. 5)</w:t>
            </w:r>
            <w:r>
              <w:t xml:space="preserve">).</w:t>
            </w:r>
          </w:p>
          <w:p/>
        </w:tc>
      </w:tr>
    </w:tbl>
    <w:bookmarkEnd w:id="506"/>
    <w:bookmarkStart w:id="613" w:name="summary-of-definitions-and-results"/>
    <w:p>
      <w:pPr>
        <w:pStyle w:val="Heading1"/>
      </w:pPr>
      <w:r>
        <w:t xml:space="preserve">Summary of definitions and results</w:t>
      </w:r>
    </w:p>
    <w:bookmarkStart w:id="517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50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5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5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511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51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51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515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17"/>
    <w:bookmarkStart w:id="522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5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52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52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522"/>
    <w:bookmarkStart w:id="530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52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9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527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527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52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9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Diagram of logistic regression link and inverse link functions</w:t>
            </w:r>
          </w:p>
          <w:bookmarkEnd w:id="529"/>
        </w:tc>
      </w:tr>
    </w:tbl>
    <w:bookmarkEnd w:id="530"/>
    <w:bookmarkStart w:id="53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3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33"/>
    <w:bookmarkStart w:id="536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34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6"/>
    <w:bookmarkStart w:id="538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38"/>
    <w:bookmarkStart w:id="543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3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4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4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43"/>
    <w:bookmarkStart w:id="548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544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545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546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54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548"/>
    <w:bookmarkStart w:id="549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193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549"/>
    <w:bookmarkStart w:id="558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55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553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558"/>
    <w:bookmarkStart w:id="563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5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56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561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562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563"/>
    <w:bookmarkStart w:id="56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56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6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392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564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565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515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56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567"/>
    <w:bookmarkStart w:id="573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56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56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57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57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313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314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572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31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573"/>
    <w:bookmarkStart w:id="579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57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57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7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57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57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79"/>
    <w:bookmarkStart w:id="584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58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8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582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58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584"/>
    <w:bookmarkStart w:id="612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58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58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8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588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58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59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91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59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593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594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595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597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598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600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601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60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60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60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607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608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609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610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611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612"/>
    <w:bookmarkEnd w:id="613"/>
    <w:bookmarkStart w:id="668" w:name="references"/>
    <w:p>
      <w:pPr>
        <w:pStyle w:val="Heading1"/>
      </w:pPr>
      <w:r>
        <w:t xml:space="preserve">References</w:t>
      </w:r>
    </w:p>
    <w:bookmarkStart w:id="667" w:name="refs"/>
    <w:bookmarkStart w:id="615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614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615"/>
    <w:bookmarkStart w:id="617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616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617"/>
    <w:bookmarkStart w:id="619" w:name="ref-bliss1935beetles"/>
    <w:p>
      <w:pPr>
        <w:pStyle w:val="Bibliography"/>
      </w:pPr>
      <w:r>
        <w:t xml:space="preserve">Bliss, C. I. 1935.</w:t>
      </w:r>
      <w:r>
        <w:t xml:space="preserve"> </w:t>
      </w:r>
      <w:r>
        <w:t xml:space="preserve">“The Calculation of the Dosage-Mortality Curve.”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 </w:t>
      </w:r>
      <w:r>
        <w:t xml:space="preserve">22 (1): 134–67.</w:t>
      </w:r>
      <w:r>
        <w:t xml:space="preserve"> </w:t>
      </w:r>
      <w:hyperlink r:id="rId618">
        <w:r>
          <w:rPr>
            <w:rStyle w:val="Hyperlink"/>
          </w:rPr>
          <w:t xml:space="preserve">https://doi.org/10.1111/j.1744-7348.1935.tb07713.x</w:t>
        </w:r>
      </w:hyperlink>
      <w:r>
        <w:t xml:space="preserve">.</w:t>
      </w:r>
    </w:p>
    <w:bookmarkEnd w:id="619"/>
    <w:bookmarkStart w:id="621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620">
        <w:r>
          <w:rPr>
            <w:rStyle w:val="Hyperlink"/>
          </w:rPr>
          <w:t xml:space="preserve">https://web.stanford.edu/~boyd/cvxbook/</w:t>
        </w:r>
      </w:hyperlink>
      <w:r>
        <w:t xml:space="preserve">.</w:t>
      </w:r>
    </w:p>
    <w:bookmarkEnd w:id="621"/>
    <w:bookmarkStart w:id="62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62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623"/>
    <w:bookmarkStart w:id="6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5"/>
    <w:bookmarkStart w:id="6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62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627"/>
    <w:bookmarkStart w:id="629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628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629"/>
    <w:bookmarkStart w:id="631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630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631"/>
    <w:bookmarkStart w:id="633" w:name="ref-graubard1999predictive"/>
    <w:p>
      <w:pPr>
        <w:pStyle w:val="Bibliography"/>
      </w:pPr>
      <w:r>
        <w:t xml:space="preserve">Graubard, Barry I., and Edward L. Korn. 1999.</w:t>
      </w:r>
      <w:r>
        <w:t xml:space="preserve"> </w:t>
      </w:r>
      <w:r>
        <w:t xml:space="preserve">“Predictive Margins with Survey Data.”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55 (2): 652–59.</w:t>
      </w:r>
      <w:r>
        <w:t xml:space="preserve"> </w:t>
      </w:r>
      <w:hyperlink r:id="rId632">
        <w:r>
          <w:rPr>
            <w:rStyle w:val="Hyperlink"/>
          </w:rPr>
          <w:t xml:space="preserve">https://doi.org/10.1111/j.0006-341X.1999.00652.x</w:t>
        </w:r>
      </w:hyperlink>
      <w:r>
        <w:t xml:space="preserve">.</w:t>
      </w:r>
    </w:p>
    <w:bookmarkEnd w:id="633"/>
    <w:bookmarkStart w:id="635" w:name="ref-greenland1986identifiability"/>
    <w:p>
      <w:pPr>
        <w:pStyle w:val="Bibliography"/>
      </w:pPr>
      <w:r>
        <w:t xml:space="preserve">Greenland, Sander, and James M. Robins. 1986.</w:t>
      </w:r>
      <w:r>
        <w:t xml:space="preserve"> </w:t>
      </w:r>
      <w:r>
        <w:t xml:space="preserve">“Identifiability, Exchangeability, and Epidemiological Confounding.”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15 (3): 413–19.</w:t>
      </w:r>
      <w:r>
        <w:t xml:space="preserve"> </w:t>
      </w:r>
      <w:hyperlink r:id="rId634">
        <w:r>
          <w:rPr>
            <w:rStyle w:val="Hyperlink"/>
          </w:rPr>
          <w:t xml:space="preserve">https://doi.org/10.1093/ije/15.3.413</w:t>
        </w:r>
      </w:hyperlink>
      <w:r>
        <w:t xml:space="preserve">.</w:t>
      </w:r>
    </w:p>
    <w:bookmarkEnd w:id="635"/>
    <w:bookmarkStart w:id="637" w:name="ref-greenland1999confounding"/>
    <w:p>
      <w:pPr>
        <w:pStyle w:val="Bibliography"/>
      </w:pPr>
      <w:r>
        <w:t xml:space="preserve">Greenland, Sander, James M. Robins, and Judea Pearl. 1999.</w:t>
      </w:r>
      <w:r>
        <w:t xml:space="preserve"> </w:t>
      </w:r>
      <w:r>
        <w:t xml:space="preserve">“Confounding and Collapsibility in Causal Inference.”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14 (1): 29–46.</w:t>
      </w:r>
      <w:r>
        <w:t xml:space="preserve"> </w:t>
      </w:r>
      <w:hyperlink r:id="rId636">
        <w:r>
          <w:rPr>
            <w:rStyle w:val="Hyperlink"/>
          </w:rPr>
          <w:t xml:space="preserve">https://doi.org/10.1214/ss/1009211805</w:t>
        </w:r>
      </w:hyperlink>
      <w:r>
        <w:t xml:space="preserve">.</w:t>
      </w:r>
    </w:p>
    <w:bookmarkEnd w:id="637"/>
    <w:bookmarkStart w:id="639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3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39"/>
    <w:bookmarkStart w:id="641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40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641"/>
    <w:bookmarkStart w:id="643" w:name="ref-hosmer1997comparison"/>
    <w:p>
      <w:pPr>
        <w:pStyle w:val="Bibliography"/>
      </w:pPr>
      <w:r>
        <w:t xml:space="preserve">Hosmer, David W., Trina Hosmer, Saskia Le Cessie, and Stanley Lemeshow. 1997.</w:t>
      </w:r>
      <w:r>
        <w:t xml:space="preserve"> </w:t>
      </w:r>
      <w:r>
        <w:t xml:space="preserve">“A Comparison of Goodness-of-Fit Tests for the Logistic Regression Model.”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 (9): 965–80.</w:t>
      </w:r>
      <w:r>
        <w:t xml:space="preserve"> </w:t>
      </w:r>
      <w:hyperlink r:id="rId642">
        <w:r>
          <w:rPr>
            <w:rStyle w:val="Hyperlink"/>
          </w:rPr>
          <w:t xml:space="preserve">https://doi.org/10.1002/(SICI)1097-0258(19970515)16:9&lt;965::AID-SIM509&gt;3.0.CO;2-O</w:t>
        </w:r>
      </w:hyperlink>
      <w:r>
        <w:t xml:space="preserve">.</w:t>
      </w:r>
    </w:p>
    <w:bookmarkEnd w:id="643"/>
    <w:bookmarkStart w:id="645" w:name="ref-hosmer1980goodness"/>
    <w:p>
      <w:pPr>
        <w:pStyle w:val="Bibliography"/>
      </w:pPr>
      <w:r>
        <w:t xml:space="preserve">Hosmer, David W., and Stanley Lemeshow. 1980.</w:t>
      </w:r>
      <w:r>
        <w:t xml:space="preserve"> </w:t>
      </w:r>
      <w:r>
        <w:t xml:space="preserve">“Goodness of Fit Tests for the Multiple Logistic Regression Model.”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 </w:t>
      </w:r>
      <w:r>
        <w:t xml:space="preserve">9 (10): 1043–69.</w:t>
      </w:r>
      <w:r>
        <w:t xml:space="preserve"> </w:t>
      </w:r>
      <w:hyperlink r:id="rId644">
        <w:r>
          <w:rPr>
            <w:rStyle w:val="Hyperlink"/>
          </w:rPr>
          <w:t xml:space="preserve">https://doi.org/10.1080/03610928008827941</w:t>
        </w:r>
      </w:hyperlink>
      <w:r>
        <w:t xml:space="preserve">.</w:t>
      </w:r>
    </w:p>
    <w:bookmarkEnd w:id="645"/>
    <w:bookmarkStart w:id="647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646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647"/>
    <w:bookmarkStart w:id="64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64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649"/>
    <w:bookmarkStart w:id="651" w:name="ref-lane1982analysis"/>
    <w:p>
      <w:pPr>
        <w:pStyle w:val="Bibliography"/>
      </w:pPr>
      <w:r>
        <w:t xml:space="preserve">Lane, Peter W., and John A. Nelder. 1982.</w:t>
      </w:r>
      <w:r>
        <w:t xml:space="preserve"> </w:t>
      </w:r>
      <w:r>
        <w:t xml:space="preserve">“Analysis of Covariance and Standardization as Instances of Prediction.”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38 (3): 613–21.</w:t>
      </w:r>
      <w:r>
        <w:t xml:space="preserve"> </w:t>
      </w:r>
      <w:hyperlink r:id="rId650">
        <w:r>
          <w:rPr>
            <w:rStyle w:val="Hyperlink"/>
          </w:rPr>
          <w:t xml:space="preserve">https://doi.org/10.2307/2530043</w:t>
        </w:r>
      </w:hyperlink>
      <w:r>
        <w:t xml:space="preserve">.</w:t>
      </w:r>
    </w:p>
    <w:bookmarkEnd w:id="651"/>
    <w:bookmarkStart w:id="653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652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653"/>
    <w:bookmarkStart w:id="655" w:name="ref-norton2024requiem"/>
    <w:p>
      <w:pPr>
        <w:pStyle w:val="Bibliography"/>
      </w:pPr>
      <w:r>
        <w:t xml:space="preserve">Norton, Edward C., Bryan E. Dowd, Melissa M. Garrido, and Matthew L. Maciejewski. 2024.</w:t>
      </w:r>
      <w:r>
        <w:t xml:space="preserve"> </w:t>
      </w:r>
      <w:r>
        <w:t xml:space="preserve">“Requiem for Odds Ratios.”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 </w:t>
      </w:r>
      <w:r>
        <w:t xml:space="preserve">59 (4): e14337. https://doi.org/</w:t>
      </w:r>
      <w:hyperlink r:id="rId654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655"/>
    <w:bookmarkStart w:id="657" w:name="ref-pregibon1981logistic"/>
    <w:p>
      <w:pPr>
        <w:pStyle w:val="Bibliography"/>
      </w:pPr>
      <w:r>
        <w:t xml:space="preserve">Pregibon, Daryl. 1981.</w:t>
      </w:r>
      <w:r>
        <w:t xml:space="preserve"> </w:t>
      </w:r>
      <w:r>
        <w:t xml:space="preserve">“Logistic Regression Diagnostics.”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9 (4): 705–24.</w:t>
      </w:r>
      <w:r>
        <w:t xml:space="preserve"> </w:t>
      </w:r>
      <w:hyperlink r:id="rId656">
        <w:r>
          <w:rPr>
            <w:rStyle w:val="Hyperlink"/>
          </w:rPr>
          <w:t xml:space="preserve">https://doi.org/10.1214/aos/1176345513</w:t>
        </w:r>
      </w:hyperlink>
      <w:r>
        <w:t xml:space="preserve">.</w:t>
      </w:r>
    </w:p>
    <w:bookmarkEnd w:id="657"/>
    <w:bookmarkStart w:id="659" w:name="ref-robins1986new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(9–12): 1393–512.</w:t>
      </w:r>
      <w:r>
        <w:t xml:space="preserve"> </w:t>
      </w:r>
      <w:hyperlink r:id="rId658">
        <w:r>
          <w:rPr>
            <w:rStyle w:val="Hyperlink"/>
          </w:rPr>
          <w:t xml:space="preserve">https://doi.org/10.1016/0270-0255(86)90088-6</w:t>
        </w:r>
      </w:hyperlink>
      <w:r>
        <w:t xml:space="preserve">.</w:t>
      </w:r>
    </w:p>
    <w:bookmarkEnd w:id="659"/>
    <w:bookmarkStart w:id="66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66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661"/>
    <w:bookmarkStart w:id="662" w:name="ref-sackett1996down"/>
    <w:p>
      <w:pPr>
        <w:pStyle w:val="Bibliography"/>
      </w:pPr>
      <w:r>
        <w:t xml:space="preserve">Sackett, David L, Jonathan J Deeks, and Doughs G Altman. 1996.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 </w:t>
      </w:r>
      <w:r>
        <w:t xml:space="preserve">1 (6): 164.</w:t>
      </w:r>
    </w:p>
    <w:bookmarkEnd w:id="662"/>
    <w:bookmarkStart w:id="664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663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664"/>
    <w:bookmarkStart w:id="66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6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66"/>
    <w:bookmarkEnd w:id="667"/>
    <w:bookmarkEnd w:id="6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linear combinations 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3" Target="media/rId303.png" /><Relationship Type="http://schemas.openxmlformats.org/officeDocument/2006/relationships/image" Id="rId118" Target="media/rId118.png" /><Relationship Type="http://schemas.openxmlformats.org/officeDocument/2006/relationships/image" Id="rId377" Target="media/rId377.png" /><Relationship Type="http://schemas.openxmlformats.org/officeDocument/2006/relationships/image" Id="rId250" Target="media/rId250.png" /><Relationship Type="http://schemas.openxmlformats.org/officeDocument/2006/relationships/image" Id="rId372" Target="media/rId372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322" Target="media/rId322.png" /><Relationship Type="http://schemas.openxmlformats.org/officeDocument/2006/relationships/image" Id="rId327" Target="media/rId327.png" /><Relationship Type="http://schemas.openxmlformats.org/officeDocument/2006/relationships/image" Id="rId338" Target="media/rId338.png" /><Relationship Type="http://schemas.openxmlformats.org/officeDocument/2006/relationships/image" Id="rId37" Target="media/rId37.png" /><Relationship Type="http://schemas.openxmlformats.org/officeDocument/2006/relationships/image" Id="rId266" Target="media/rId266.png" /><Relationship Type="http://schemas.openxmlformats.org/officeDocument/2006/relationships/image" Id="rId271" Target="media/rId271.png" /><Relationship Type="http://schemas.openxmlformats.org/officeDocument/2006/relationships/image" Id="rId276" Target="media/rId276.png" /><Relationship Type="http://schemas.openxmlformats.org/officeDocument/2006/relationships/image" Id="rId42" Target="media/rId42.png" /><Relationship Type="http://schemas.openxmlformats.org/officeDocument/2006/relationships/image" Id="rId331" Target="media/rId331.png" /><Relationship Type="http://schemas.openxmlformats.org/officeDocument/2006/relationships/image" Id="rId345" Target="media/rId345.png" /><Relationship Type="http://schemas.openxmlformats.org/officeDocument/2006/relationships/image" Id="rId349" Target="media/rId349.png" /><Relationship Type="http://schemas.openxmlformats.org/officeDocument/2006/relationships/image" Id="rId353" Target="media/rId353.png" /><Relationship Type="http://schemas.openxmlformats.org/officeDocument/2006/relationships/image" Id="rId47" Target="media/rId47.png" /><Relationship Type="http://schemas.openxmlformats.org/officeDocument/2006/relationships/image" Id="rId357" Target="media/rId357.png" /><Relationship Type="http://schemas.openxmlformats.org/officeDocument/2006/relationships/image" Id="rId449" Target="media/rId449.png" /><Relationship Type="http://schemas.openxmlformats.org/officeDocument/2006/relationships/image" Id="rId476" Target="media/rId476.png" /><Relationship Type="http://schemas.openxmlformats.org/officeDocument/2006/relationships/image" Id="rId480" Target="media/rId480.png" /><Relationship Type="http://schemas.openxmlformats.org/officeDocument/2006/relationships/image" Id="rId52" Target="media/rId52.png" /><Relationship Type="http://schemas.openxmlformats.org/officeDocument/2006/relationships/image" Id="rId484" Target="media/rId484.png" /><Relationship Type="http://schemas.openxmlformats.org/officeDocument/2006/relationships/image" Id="rId489" Target="media/rId489.png" /><Relationship Type="http://schemas.openxmlformats.org/officeDocument/2006/relationships/image" Id="rId493" Target="media/rId493.png" /><Relationship Type="http://schemas.openxmlformats.org/officeDocument/2006/relationships/image" Id="rId57" Target="media/rId57.png" /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2026-09-29T03:40:01Z</dcterms:created>
  <dcterms:modified xsi:type="dcterms:W3CDTF">2026-09-29T03:40:01Z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Logistic regression and variations</vt:lpwstr>
  </property>
  <property fmtid="{D5CDD505-2E9C-101B-9397-08002B2CF9AE}" pid="17" name="toc-title">
    <vt:lpwstr>Table of contents</vt:lpwstr>
  </property>
</Properties>
</file>