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indicator-functions"/>
    <w:p>
      <w:pPr>
        <w:pStyle w:val="Heading1"/>
      </w:pPr>
      <w:r>
        <w:t xml:space="preserve">4.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cator-function"/>
          <w:p>
            <w:pPr>
              <w:pStyle w:val="BodyText"/>
            </w:pPr>
            <w:r>
              <w:rPr>
                <w:b/>
                <w:bCs/>
              </w:rPr>
              <w:t xml:space="preserve">Definition 1 (Indicator function)</w:t>
            </w:r>
            <w:r>
              <w:t xml:space="preserve"> </w:t>
            </w:r>
            <w:r>
              <w:t xml:space="preserve">For any subset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of a universal set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defined by: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A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More generally,</w:t>
            </w:r>
            <w:r>
              <w:t xml:space="preserve"> </w:t>
            </w:r>
            <w:r>
              <w:t xml:space="preserve">for any logical proposition or predicate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takes the value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false: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P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true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false</m:t>
                          </m:r>
                        </m:e>
                      </m:mr>
                    </m:m>
                  </m:e>
                </m:d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indicator-numerical"/>
          <w:p>
            <w:pPr>
              <w:pStyle w:val="BodyText"/>
            </w:pPr>
            <w:r>
              <w:rPr>
                <w:b/>
                <w:bCs/>
              </w:rPr>
              <w:t xml:space="preserve">Example 1 (Evaluating set and predicate indicators)</w:t>
            </w:r>
            <w:r>
              <w:t xml:space="preserve"> </w:t>
            </w:r>
            <w:r>
              <w:t xml:space="preserve">Consider the real line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set of nonnegative numbers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continuous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Set indicator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t>3.5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Predicate indicator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true,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false,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4.1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1"/>
          <w:p/>
        </w:tc>
      </w:tr>
    </w:tbl>
    <w:bookmarkStart w:id="25" w:name="X156504d913efc1f49ad7c2e43ace68824d2fb5d"/>
    <w:p>
      <w:pPr>
        <w:pStyle w:val="Heading2"/>
      </w:pPr>
      <w:r>
        <w:t xml:space="preserve">4.1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22" w:name="set-notation"/>
    <w:p>
      <w:pPr>
        <w:pStyle w:val="Heading3"/>
      </w:pPr>
      <w:r>
        <w:t xml:space="preserve">4.1.1 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22"/>
    <w:bookmarkStart w:id="23" w:name="predicate-notation"/>
    <w:p>
      <w:pPr>
        <w:pStyle w:val="Heading3"/>
      </w:pPr>
      <w:r>
        <w:t xml:space="preserve">4.1.2 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3"/>
    <w:bookmarkStart w:id="24" w:name="equivalence-between-paradigms"/>
    <w:p>
      <w:pPr>
        <w:pStyle w:val="Heading3"/>
      </w:pPr>
      <w:r>
        <w:t xml:space="preserve">4.1.3 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28" w:name="iverson-bracket-notation"/>
    <w:p>
      <w:pPr>
        <w:pStyle w:val="Heading2"/>
      </w:pPr>
      <w:r>
        <w:t xml:space="preserve">4.2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p>
      <w:pPr>
        <w:pStyle w:val="BodyText"/>
      </w:pPr>
      <w:r>
        <w:t xml:space="preserve">The Iverson bracket encloses any mathematical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inside square brackets: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Kronecker delta is simply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]</m:t>
        </m:r>
      </m:oMath>
      <w:r>
        <w:t xml:space="preserve">.</w:t>
      </w:r>
    </w:p>
    <w:bookmarkStart w:id="27" w:name="Xd6f58182005cccf55080a628cd9152d2b1165ed"/>
    <w:p>
      <w:pPr>
        <w:pStyle w:val="Heading3"/>
      </w:pPr>
      <w:r>
        <w:t xml:space="preserve">4.2.1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27"/>
    <w:bookmarkEnd w:id="28"/>
    <w:bookmarkStart w:id="30" w:name="summary-of-indicator-notations"/>
    <w:p>
      <w:pPr>
        <w:pStyle w:val="Heading2"/>
      </w:pPr>
      <w:r>
        <w:t xml:space="preserve">4.3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conventions-in-this-book"/>
    <w:p>
      <w:pPr>
        <w:pStyle w:val="Heading2"/>
      </w:pPr>
      <w:r>
        <w:t xml:space="preserve">4.4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1"/>
    <w:bookmarkStart w:id="32" w:name="key-algebraic-properties"/>
    <w:p>
      <w:pPr>
        <w:pStyle w:val="Heading2"/>
      </w:pPr>
      <w:r>
        <w:t xml:space="preserve">4.5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expectation 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32"/>
    <w:bookmarkEnd w:id="33"/>
    <w:bookmarkStart w:id="47" w:name="sec-stochastic-probabilistic-random"/>
    <w:p>
      <w:pPr>
        <w:pStyle w:val="Heading1"/>
      </w:pPr>
      <w:r>
        <w:t xml:space="preserve">5.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35" w:name="Xb824105725c714fb62d41c87a09d9013ca5949f"/>
    <w:p>
      <w:pPr>
        <w:pStyle w:val="Heading2"/>
      </w:pPr>
      <w:r>
        <w:t xml:space="preserve">5.1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34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35"/>
    <w:bookmarkStart w:id="40" w:name="definitions"/>
    <w:p>
      <w:pPr>
        <w:pStyle w:val="Heading2"/>
      </w:pPr>
      <w:r>
        <w:t xml:space="preserve">5.2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40"/>
    <w:bookmarkStart w:id="42" w:name="summary-of-usage"/>
    <w:p>
      <w:pPr>
        <w:pStyle w:val="Heading2"/>
      </w:pPr>
      <w:r>
        <w:t xml:space="preserve">5.3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42"/>
    <w:bookmarkStart w:id="46" w:name="additional-resources"/>
    <w:p>
      <w:pPr>
        <w:pStyle w:val="Heading2"/>
      </w:pPr>
      <w:r>
        <w:t xml:space="preserve">5.4 Additional resources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9"/>
        </w:numPr>
      </w:pPr>
      <w:hyperlink r:id="rId4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46"/>
    <w:bookmarkEnd w:id="47"/>
    <w:bookmarkStart w:id="54" w:name="X93a3d4ef5e06a67ae6b891e46b41b74b3674f55"/>
    <w:p>
      <w:pPr>
        <w:pStyle w:val="Heading1"/>
      </w:pPr>
      <w:r>
        <w:t xml:space="preserve">6.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56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56"/>
    <w:bookmarkStart w:id="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8"/>
    <w:bookmarkStart w:id="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0"/>
    <w:bookmarkStart w:id="6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62"/>
    <w:bookmarkStart w:id="64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63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64"/>
    <w:bookmarkStart w:id="6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65"/>
    <w:bookmarkStart w:id="67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66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67"/>
    <w:bookmarkStart w:id="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2026-09-29T03:46:33Z</dcterms:created>
  <dcterms:modified xsi:type="dcterms:W3CDTF">2026-09-29T03:46:33Z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