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 Bernoulli models</w:t>
      </w:r>
    </w:p>
    <w:p>
      <w:pPr>
        <w:pStyle w:val="Compact"/>
        <w:numPr>
          <w:ilvl w:val="0"/>
          <w:numId w:val="1001"/>
        </w:numPr>
      </w:pPr>
      <w:r>
        <w:t xml:space="preserve">Event rate outcomes: Poisson/Negative binomial 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 Gaussian models</w:t>
      </w:r>
    </w:p>
    <w:bookmarkEnd w:id="10"/>
    <w:bookmarkStart w:id="12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 logit 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 offset</w:t>
      </w:r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fig-model-diagrams"/>
          <w:p>
            <w:pPr>
              <w:jc w:val="center"/>
            </w:pPr>
            <w:r>
              <w:t xml:space="preserve">Linear (Gaussian):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→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linear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predictor</m:t>
                          </m:r>
                        </m:e>
                      </m:mr>
                    </m:m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Logistic (Binomial):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probability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ω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den>
                        </m:f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odds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Count (Poisson):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t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rate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log-rate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jc w:val="center"/>
            </w:pPr>
            <w:r>
              <w:t xml:space="preserve">Survival (Cox PH):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←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nary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survival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cumulative 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p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log-hazard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 GLMs 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11"/>
        </w:tc>
      </w:tr>
    </w:tbl>
    <w:bookmarkEnd w:id="12"/>
    <w:bookmarkStart w:id="13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r>
        <w:t xml:space="preserve">likelihood</w:t>
      </w:r>
    </w:p>
    <w:p>
      <w:pPr>
        <w:pStyle w:val="Compact"/>
        <w:numPr>
          <w:ilvl w:val="0"/>
          <w:numId w:val="1003"/>
        </w:numPr>
      </w:pPr>
      <w:r>
        <w:t xml:space="preserve">log-likelihood</w:t>
      </w:r>
    </w:p>
    <w:p>
      <w:pPr>
        <w:pStyle w:val="Compact"/>
        <w:numPr>
          <w:ilvl w:val="0"/>
          <w:numId w:val="1003"/>
        </w:numPr>
      </w:pPr>
      <w:r>
        <w:t xml:space="preserve">score function</w:t>
      </w:r>
    </w:p>
    <w:p>
      <w:pPr>
        <w:pStyle w:val="Compact"/>
        <w:numPr>
          <w:ilvl w:val="0"/>
          <w:numId w:val="1003"/>
        </w:numPr>
      </w:pPr>
      <w:r>
        <w:t xml:space="preserve">hessian</w:t>
      </w:r>
    </w:p>
    <w:bookmarkEnd w:id="13"/>
    <w:bookmarkStart w:id="14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r>
        <w:t xml:space="preserve">observed information matrix</w:t>
      </w:r>
    </w:p>
    <w:p>
      <w:pPr>
        <w:pStyle w:val="Compact"/>
        <w:numPr>
          <w:ilvl w:val="0"/>
          <w:numId w:val="1004"/>
        </w:numPr>
      </w:pPr>
      <w:r>
        <w:t xml:space="preserve">expected information matrix</w:t>
      </w:r>
    </w:p>
    <w:p>
      <w:pPr>
        <w:pStyle w:val="Compact"/>
        <w:numPr>
          <w:ilvl w:val="0"/>
          <w:numId w:val="1004"/>
        </w:numPr>
      </w:pPr>
      <w:r>
        <w:t xml:space="preserve">standard error</w:t>
      </w:r>
    </w:p>
    <w:p>
      <w:pPr>
        <w:pStyle w:val="Compact"/>
        <w:numPr>
          <w:ilvl w:val="0"/>
          <w:numId w:val="1004"/>
        </w:numPr>
      </w:pPr>
      <w:r>
        <w:t xml:space="preserve">confidence intervals</w:t>
      </w:r>
    </w:p>
    <w:p>
      <w:pPr>
        <w:pStyle w:val="Compact"/>
        <w:numPr>
          <w:ilvl w:val="0"/>
          <w:numId w:val="1004"/>
        </w:numPr>
      </w:pPr>
      <w:r>
        <w:t xml:space="preserve">p-values</w:t>
      </w:r>
    </w:p>
    <w:bookmarkEnd w:id="14"/>
    <w:bookmarkStart w:id="15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(AIC, BIC)</w:t>
      </w:r>
    </w:p>
    <w:bookmarkEnd w:id="15"/>
    <w:bookmarkStart w:id="17" w:name="references"/>
    <w:p>
      <w:pPr>
        <w:pStyle w:val="Heading1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2026-10-02T01:26:51Z</dcterms:created>
  <dcterms:modified xsi:type="dcterms:W3CDTF">2026-10-02T01:26:51Z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