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1)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(Rothman et al. 2021)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(Aune et al. 2016)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(</w:t>
            </w:r>
            <w:r>
              <w:t xml:space="preserve">Gasparrini et al.</w:t>
            </w:r>
            <w:r>
              <w:t xml:space="preserve"> </w:t>
            </w:r>
            <w:r>
              <w:t xml:space="preserve">2015)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7.1)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7.3)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4)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7.4)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sec. 5)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(Wood 2017, sec. 4.2; James et al. 2021, sec. 7.4)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7.5)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5–6)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(Wood 2017, sec. 5.1; James et al. 2021, sec. 7.5)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PRSS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B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S</m:t>
                  </m:r>
                </m:e>
                <m:sub>
                  <m:r>
                    <m:t>λ</m:t>
                  </m:r>
                </m:sub>
              </m:sSub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(Wood 2017, sec. 4.2; Hastie et al. 2009, sec. 5.4)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PRSS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P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scalar equals its transpose)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rPr>
                            <m:sty m:val="bi"/>
                          </m:rPr>
                          <m:t>P</m:t>
                        </m:r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quadratic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PRSS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linear form: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a symmetric quadratic form)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(set the gradient to zero)</m:t>
                    </m:r>
                  </m:e>
                  <m:e>
                    <m:r>
                      <m:t>2</m:t>
                    </m:r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rPr>
                        <m:sty m:val="bi"/>
                      </m:rP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on the left by 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λ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values of a basis expansion)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B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m:oMath>
        <m:r>
          <m:rPr>
            <m:sty m:val="p"/>
          </m:rPr>
          <m:t>∫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P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B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n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∑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(columns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(invert the diagonal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(Wood 2017, sec. 6.2)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(Hastie et al. 2009, sec. 6.1)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(2021, sec. 7.7)</w:t>
      </w:r>
      <w:r>
        <w:t xml:space="preserve"> </w:t>
      </w:r>
      <w:r>
        <w:t xml:space="preserve">and</w:t>
      </w:r>
      <w:r>
        <w:t xml:space="preserve"> </w:t>
      </w:r>
      <w:r>
        <w:t xml:space="preserve">Wood (2017, secs. 4–7)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sec. 6)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(Wood 2017)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(Wood 2017, sec. 5.4)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(2017, secs. 6.10–6.12)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(Wood 2013)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(Wood 2017, sec. 6.10)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(Wood 2017, sec. 6.10)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(Rosenman et al. 1975)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— or</w:t>
      </w:r>
      <w:r>
        <w:br/>
      </w:r>
      <w:r>
        <w:rPr>
          <w:rStyle w:val="CommentTok"/>
        </w:rPr>
        <w:t xml:space="preserve"># zero —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(Wood 2017, sec. 6.2)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(2017)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(2021, sec. 7.8)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(2023, sec. 7.8)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(James et al. 2021, sec. 7.1)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(James et al. 2021, sec. 7.2)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(James et al. 2021, sec. 7.4)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(James et al. 2021, secs. 7.5–7.6)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(James et al. 2021, sec. 7.7)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(2021, sec. 7.7)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 (log-odds)"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(2021, sec. 7.9)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9.1)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(James et al. 2021)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(Hastie et al. 2009, sec. 9.1.1)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aune2016bmi"/>
    <w:p>
      <w:pPr>
        <w:pStyle w:val="Bibliography"/>
      </w:pPr>
      <w:r>
        <w:t xml:space="preserve">Aune, Dagfinn, Abhijit Sen, Manya Prasad, et al. 2016.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353: i2156.</w:t>
      </w:r>
      <w:r>
        <w:t xml:space="preserve"> </w:t>
      </w:r>
      <w:hyperlink r:id="rId189">
        <w:r>
          <w:rPr>
            <w:rStyle w:val="Hyperlink"/>
          </w:rPr>
          <w:t xml:space="preserve">https://doi.org/10.1136/bmj.i2156</w:t>
        </w:r>
      </w:hyperlink>
      <w:r>
        <w:t xml:space="preserve">.</w:t>
      </w:r>
    </w:p>
    <w:bookmarkEnd w:id="190"/>
    <w:bookmarkStart w:id="192" w:name="ref-gasparrini2015mortality"/>
    <w:p>
      <w:pPr>
        <w:pStyle w:val="Bibliography"/>
      </w:pPr>
      <w:r>
        <w:t xml:space="preserve">Gasparrini, Antonio, Yuming Guo, Masahiro Hashizume, et al.</w:t>
      </w:r>
      <w:r>
        <w:t xml:space="preserve"> 2015.</w:t>
      </w:r>
      <w:r>
        <w:t xml:space="preserve"> </w:t>
      </w:r>
      <w:r>
        <w:t xml:space="preserve">“Mortality Risk Attributable to High and Low Ambient Temperature: A Multicountry Observational Study.”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386 (9991): 369–75.</w:t>
      </w:r>
      <w:r>
        <w:t xml:space="preserve"> </w:t>
      </w:r>
      <w:hyperlink r:id="rId191">
        <w:r>
          <w:rPr>
            <w:rStyle w:val="Hyperlink"/>
          </w:rPr>
          <w:t xml:space="preserve">https://doi.org/10.1016/S0140-6736(14)62114-0</w:t>
        </w:r>
      </w:hyperlink>
      <w:r>
        <w:t xml:space="preserve">.</w:t>
      </w:r>
    </w:p>
    <w:bookmarkEnd w:id="192"/>
    <w:bookmarkStart w:id="194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9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94"/>
    <w:bookmarkStart w:id="19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9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96"/>
    <w:bookmarkStart w:id="198" w:name="ref-james2023islp"/>
    <w:p>
      <w:pPr>
        <w:pStyle w:val="Bibliography"/>
      </w:pPr>
      <w:r>
        <w:t xml:space="preserve">James, Gareth, Daniela Witten, Trevor Hastie, Robert Tibshirani, and Jonathan Taylor. 2023.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Springer.</w:t>
      </w:r>
      <w:r>
        <w:t xml:space="preserve"> </w:t>
      </w:r>
      <w:hyperlink r:id="rId197">
        <w:r>
          <w:rPr>
            <w:rStyle w:val="Hyperlink"/>
          </w:rPr>
          <w:t xml:space="preserve">https://www.statlearning.com</w:t>
        </w:r>
      </w:hyperlink>
      <w:r>
        <w:t xml:space="preserve">.</w:t>
      </w:r>
    </w:p>
    <w:bookmarkEnd w:id="198"/>
    <w:bookmarkStart w:id="200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99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00"/>
    <w:bookmarkStart w:id="20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1"/>
    <w:bookmarkStart w:id="203" w:name="ref-wood2013pvalues"/>
    <w:p>
      <w:pPr>
        <w:pStyle w:val="Bibliography"/>
      </w:pPr>
      <w:r>
        <w:t xml:space="preserve">Wood, Simon N. 2013.</w:t>
      </w:r>
      <w:r>
        <w:t xml:space="preserve"> </w:t>
      </w:r>
      <w:r>
        <w:t xml:space="preserve">“On p-Values for Smooth Components of an Extended Generalized Additive Model.”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100 (1): 221–28.</w:t>
      </w:r>
      <w:r>
        <w:t xml:space="preserve"> </w:t>
      </w:r>
      <w:hyperlink r:id="rId202">
        <w:r>
          <w:rPr>
            <w:rStyle w:val="Hyperlink"/>
          </w:rPr>
          <w:t xml:space="preserve">https://doi.org/10.1093/biomet/ass048</w:t>
        </w:r>
      </w:hyperlink>
      <w:r>
        <w:t xml:space="preserve">.</w:t>
      </w:r>
    </w:p>
    <w:bookmarkEnd w:id="203"/>
    <w:bookmarkStart w:id="20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9" Target="https://doi.org/10.1001/jama.1975.03260080034016" TargetMode="External" /><Relationship Type="http://schemas.openxmlformats.org/officeDocument/2006/relationships/hyperlink" Id="rId193" Target="https://doi.org/10.1007/978-0-387-84858-7" TargetMode="External" /><Relationship Type="http://schemas.openxmlformats.org/officeDocument/2006/relationships/hyperlink" Id="rId195" Target="https://doi.org/10.1007/978-1-0716-1418-1" TargetMode="External" /><Relationship Type="http://schemas.openxmlformats.org/officeDocument/2006/relationships/hyperlink" Id="rId191" Target="https://doi.org/10.1016/S0140-6736(14)62114-0" TargetMode="External" /><Relationship Type="http://schemas.openxmlformats.org/officeDocument/2006/relationships/hyperlink" Id="rId202" Target="https://doi.org/10.1093/biomet/ass048" TargetMode="External" /><Relationship Type="http://schemas.openxmlformats.org/officeDocument/2006/relationships/hyperlink" Id="rId189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197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2026-10-15T13:31:53Z</dcterms:created>
  <dcterms:modified xsi:type="dcterms:W3CDTF">2026-10-15T13:31:53Z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