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2.png" ContentType="image/png"/>
  <Override PartName="/word/media/rId11.png" ContentType="image/png"/>
  <Override PartName="/word/media/rId120.png" ContentType="image/png"/>
  <Override PartName="/word/media/rId186.png" ContentType="image/png"/>
  <Override PartName="/word/media/rId289.png" ContentType="image/png"/>
  <Override PartName="/word/media/rId108.png" ContentType="image/png"/>
  <Override PartName="/word/media/rId80.png" ContentType="image/png"/>
  <Override PartName="/word/media/rId34.png" ContentType="image/png"/>
  <Override PartName="/word/media/rId45.png" ContentType="image/png"/>
  <Override PartName="/word/media/rId41.png" ContentType="image/png"/>
  <Override PartName="/word/media/rId283.png" ContentType="image/png"/>
  <Override PartName="/word/media/rId203.png" ContentType="image/png"/>
  <Override PartName="/word/media/rId183.png" ContentType="image/png"/>
  <Override PartName="/word/media/rId309.png" ContentType="image/png"/>
  <Override PartName="/word/media/rId21.png" ContentType="image/png"/>
  <Override PartName="/word/media/rId160.png" ContentType="image/png"/>
  <Override PartName="/word/media/rId166.png" ContentType="image/png"/>
  <Override PartName="/word/media/rId196.png" ContentType="image/png"/>
  <Override PartName="/word/media/rId27.png" ContentType="image/png"/>
  <Override PartName="/word/media/rId227.png" ContentType="image/png"/>
  <Override PartName="/word/media/rId53.png" ContentType="image/png"/>
  <Override PartName="/word/media/rId266.png" ContentType="image/png"/>
  <Override PartName="/word/media/rId57.png" ContentType="image/png"/>
  <Override PartName="/word/media/rId300.png" ContentType="image/png"/>
  <Override PartName="/word/media/rId320.png" ContentType="image/png"/>
  <Override PartName="/word/media/rId324.png" ContentType="image/png"/>
  <Override PartName="/word/media/rId346.png" ContentType="image/png"/>
  <Override PartName="/word/media/rId61.png" ContentType="image/png"/>
  <Override PartName="/word/media/rId88.png" ContentType="image/png"/>
  <Override PartName="/word/media/rId92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 PDF, CDF, survival function, inverse survival (quantile) function, hazard, and cumulative hazard</w:t>
      </w:r>
    </w:p>
    <w:p>
      <w:pPr>
        <w:pStyle w:val="Compact"/>
        <w:numPr>
          <w:ilvl w:val="0"/>
          <w:numId w:val="1001"/>
        </w:numPr>
      </w:pPr>
      <w:r>
        <w:t xml:space="preserve">Parametric models for survival data (exponential, Weibull)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 Nelson-Aalen cumulative hazard estimator</w:t>
      </w:r>
    </w:p>
    <w:p>
      <w:pPr>
        <w:pStyle w:val="Compact"/>
        <w:numPr>
          <w:ilvl w:val="0"/>
          <w:numId w:val="1001"/>
        </w:numPr>
      </w:pPr>
      <w:r>
        <w:t xml:space="preserve">The empirical inverse survival function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9" w:name="time-to-event-outcome-distributions"/>
    <w:p>
      <w:pPr>
        <w:pStyle w:val="Heading1"/>
      </w:pPr>
      <w:r>
        <w:t xml:space="preserve">3. Time-to-event outcome distributions</w:t>
      </w:r>
    </w:p>
    <w:bookmarkStart w:id="18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17"/>
        </w:tc>
      </w:tr>
    </w:tbl>
    <w:bookmarkEnd w:id="18"/>
    <w:bookmarkEnd w:id="19"/>
    <w:bookmarkStart w:id="117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5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20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"/>
          <w:p/>
        </w:tc>
      </w:tr>
    </w:tbl>
    <w:bookmarkEnd w:id="25"/>
    <w:bookmarkStart w:id="30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6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51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(Soch 2023)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49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44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49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 Tonelli’s theorem</w:t>
            </w:r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51"/>
    <w:bookmarkStart w:id="69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For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56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Numerical example.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time?</w:t>
            </w:r>
          </w:p>
          <w:p>
            <w:pPr>
              <w:pStyle w:val="BodyText"/>
            </w:pPr>
            <w:r>
              <w:t xml:space="preserve">The median survival time is the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w:r>
              <w:t xml:space="preserve">half the patients are still alive, i.e. 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0.693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0.347</m:t>
                </m:r>
                <m:r>
                  <m:rPr>
                    <m:nor/>
                    <m:sty m:val="p"/>
                  </m:rPr>
                  <m:t> years.</m:t>
                </m: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65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0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5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5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4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6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6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65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67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69"/>
    <w:bookmarkStart w:id="103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6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70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71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7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7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7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8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discrete hazard increment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0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6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91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95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9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99"/>
              </w:tc>
            </w:tr>
          </w:tbl>
          <w:bookmarkEnd w:id="1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02"/>
        </w:tc>
      </w:tr>
    </w:tbl>
    <w:bookmarkEnd w:id="103"/>
    <w:bookmarkStart w:id="112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04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06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11"/>
        </w:tc>
      </w:tr>
    </w:tbl>
    <w:bookmarkEnd w:id="112"/>
    <w:bookmarkStart w:id="115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13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4"/>
    <w:bookmarkEnd w:id="115"/>
    <w:bookmarkStart w:id="116" w:name="sec-likelihood-with-censoring"/>
    <w:p>
      <w:pPr>
        <w:pStyle w:val="Heading2"/>
      </w:pPr>
      <w:r>
        <w:t xml:space="preserve">4.8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16"/>
    <w:bookmarkEnd w:id="117"/>
    <w:bookmarkStart w:id="138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35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8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8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8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18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18"/>
    <w:bookmarkStart w:id="130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1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5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2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bookmarkEnd w:id="130"/>
    <w:bookmarkStart w:id="133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9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9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9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31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3"/>
    <w:bookmarkStart w:id="134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7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0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0"/>
        </w:numPr>
      </w:pPr>
      <w:r>
        <w:t xml:space="preserve">The most frequently used generalization of the exponential is the</w:t>
      </w:r>
      <w:r>
        <w:t xml:space="preserve"> </w:t>
      </w:r>
      <w:hyperlink r:id="rId136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0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37"/>
    <w:bookmarkEnd w:id="138"/>
    <w:bookmarkStart w:id="148" w:name="nonparametric-survival-analysis"/>
    <w:p>
      <w:pPr>
        <w:pStyle w:val="Heading1"/>
      </w:pPr>
      <w:r>
        <w:t xml:space="preserve">6. Nonparametric Survival Analysis</w:t>
      </w:r>
    </w:p>
    <w:bookmarkStart w:id="14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1"/>
        </w:numPr>
      </w:pPr>
      <w:r>
        <w:t xml:space="preserve">Mostly, we work without a parametric model.</w:t>
      </w:r>
    </w:p>
    <w:p>
      <w:pPr>
        <w:numPr>
          <w:ilvl w:val="0"/>
          <w:numId w:val="1011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1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11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8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39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(</w:t>
            </w:r>
            <w:r>
              <w:t xml:space="preserve">Freireich et al.</w:t>
            </w:r>
            <w:r>
              <w:t xml:space="preserve"> </w:t>
            </w:r>
            <w:r>
              <w:t xml:space="preserve">1963)</w:t>
            </w:r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39"/>
          <w:bookmarkStart w:id="141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0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40"/>
              </w:tc>
            </w:tr>
          </w:tbl>
          <w:bookmarkEnd w:id="141"/>
          <w:bookmarkStart w:id="142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142"/>
          <w:bookmarkStart w:id="14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143"/>
              </w:tc>
            </w:tr>
          </w:tbl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average time in each group is not useful. Some of the 6-MP</w:t>
            </w:r>
            <w:r>
              <w:t xml:space="preserve"> </w:t>
            </w:r>
            <w:r>
              <w:t xml:space="preserve">patients have not relapsed at the time recorded, while all of the</w:t>
            </w:r>
            <w:r>
              <w:t xml:space="preserve"> </w:t>
            </w:r>
            <w:r>
              <w:t xml:space="preserve">placebo patients have relapsed.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Both are biased down in the 6-MP group. 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144"/>
          <w:bookmarkStart w:id="14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 hazard rate, assuming an exponential model: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For the placebo group, the estimated hazard is just the reciprocal of the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145"/>
          <w:bookmarkEnd w:id="146"/>
          <w:p/>
        </w:tc>
      </w:tr>
    </w:tbl>
    <w:bookmarkEnd w:id="147"/>
    <w:bookmarkEnd w:id="148"/>
    <w:bookmarkStart w:id="21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 interval failure probability</w:t>
      </w:r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lemma expressing a conditional survival probability as a ratio of</w:t>
      </w:r>
      <w:r>
        <w:t xml:space="preserve"> </w:t>
      </w:r>
      <w:r>
        <w:t xml:space="preserve">survival function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11 (Interval failure probability)</w:t>
            </w:r>
            <w:r>
              <w:t xml:space="preserve"> </w:t>
            </w:r>
            <w:r>
              <w:t xml:space="preserve">Fix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conditional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 survival function values:</w:t>
            </w:r>
          </w:p>
          <w:p>
            <w:pPr>
              <w:pStyle w:val="BodyText"/>
            </w:pPr>
            <w:bookmarkStart w:id="15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7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9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15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10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4"/>
          <w:p/>
        </w:tc>
      </w:tr>
    </w:tbl>
    <w:bookmarkStart w:id="165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12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15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10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157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matches the Kaplan-Meier estimator,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11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159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3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1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163"/>
              </w:tc>
            </w:tr>
          </w:tbl>
          <w:bookmarkEnd w:id="164"/>
          <w:p/>
        </w:tc>
      </w:tr>
    </w:tbl>
    <w:bookmarkEnd w:id="165"/>
    <w:bookmarkStart w:id="193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19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9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9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9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9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 at-risk set,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13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17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14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3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1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15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 conditional probability 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11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subset property</w:t>
        </w:r>
      </w:hyperlink>
      <w:r>
        <w:t xml:space="preserve">). 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11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6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176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9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 discrete hazard;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8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(km_factor_math[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7"/>
                    <w:gridCol w:w="491"/>
                    <w:gridCol w:w="491"/>
                    <w:gridCol w:w="491"/>
                    <w:gridCol w:w="491"/>
                    <w:gridCol w:w="491"/>
                    <w:gridCol w:w="600"/>
                    <w:gridCol w:w="1365"/>
                    <w:gridCol w:w="1365"/>
                    <w:gridCol w:w="1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78"/>
                <w:p/>
              </w:tc>
            </w:tr>
          </w:tbl>
          <w:bookmarkEnd w:id="17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1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8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 median survival time.</w:t>
            </w:r>
          </w:p>
          <w:bookmarkEnd w:id="1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1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19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12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92"/>
        </w:tc>
      </w:tr>
    </w:tbl>
    <w:bookmarkEnd w:id="193"/>
    <w:bookmarkStart w:id="20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 variance 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13 (Greenwood’s estimator for variance of Kaplan-Meier survival estimator)</w:t>
            </w:r>
          </w:p>
          <w:p>
            <w:pPr>
              <w:pStyle w:val="BodyText"/>
            </w:pPr>
            <w:bookmarkStart w:id="194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>
            <w:pPr>
              <w:pStyle w:val="FirstParagraph"/>
            </w:pPr>
            <w:r>
              <w:t xml:space="preserve">(Klein and Moeschberger 2003, sec. 4.2, eq. (4.2.2))</w:t>
            </w:r>
          </w:p>
          <w:bookmarkEnd w:id="195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for confidence intervals for a survival</w:t>
      </w:r>
      <w:r>
        <w:t xml:space="preserve"> </w:t>
      </w:r>
      <w:r>
        <w:t xml:space="preserve">function or a difference of survival functions.</w:t>
      </w:r>
    </w:p>
    <w:bookmarkStart w:id="20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14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 Kaplan-Meier 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199"/>
              </w:tc>
            </w:tr>
          </w:tbl>
          <w:bookmarkEnd w:id="200"/>
          <w:p/>
        </w:tc>
      </w:tr>
    </w:tbl>
    <w:bookmarkEnd w:id="201"/>
    <w:bookmarkEnd w:id="202"/>
    <w:bookmarkStart w:id="21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1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16"/>
          <w:p/>
        </w:tc>
      </w:tr>
    </w:tbl>
    <w:bookmarkEnd w:id="217"/>
    <w:bookmarkEnd w:id="218"/>
    <w:bookmarkEnd w:id="219"/>
    <w:bookmarkStart w:id="254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2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2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15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observations where the event was right-censored 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21"/>
          <w:p/>
        </w:tc>
      </w:tr>
    </w:tbl>
    <w:bookmarkEnd w:id="222"/>
    <w:bookmarkStart w:id="22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16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25"/>
          <w:p/>
        </w:tc>
      </w:tr>
    </w:tbl>
    <w:bookmarkEnd w:id="226"/>
    <w:bookmarkStart w:id="23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2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3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30"/>
    <w:bookmarkEnd w:id="231"/>
    <w:bookmarkStart w:id="253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241" w:name="visualization-packages"/>
    <w:p>
      <w:pPr>
        <w:pStyle w:val="Heading3"/>
      </w:pPr>
      <w:r>
        <w:t xml:space="preserve">8.4.1 Visualization Packages</w:t>
      </w:r>
    </w:p>
    <w:bookmarkStart w:id="236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3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4"/>
        </w:numPr>
      </w:pPr>
      <w:r>
        <w:t xml:space="preserve">Developed by</w:t>
      </w:r>
      <w:r>
        <w:t xml:space="preserve"> </w:t>
      </w:r>
      <w:hyperlink r:id="rId23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4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4"/>
        </w:numPr>
      </w:pPr>
      <w:r>
        <w:t xml:space="preserve">Key features:</w:t>
      </w:r>
    </w:p>
    <w:p>
      <w:pPr>
        <w:pStyle w:val="Compact"/>
        <w:numPr>
          <w:ilvl w:val="1"/>
          <w:numId w:val="1025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5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5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5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5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4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4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4"/>
        </w:numPr>
      </w:pPr>
      <w:r>
        <w:t xml:space="preserve">Available on</w:t>
      </w:r>
      <w:r>
        <w:t xml:space="preserve"> </w:t>
      </w:r>
      <w:hyperlink r:id="rId23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35">
        <w:r>
          <w:rPr>
            <w:rStyle w:val="Hyperlink"/>
          </w:rPr>
          <w:t xml:space="preserve">GitHub</w:t>
        </w:r>
      </w:hyperlink>
    </w:p>
    <w:bookmarkEnd w:id="236"/>
    <w:bookmarkStart w:id="238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37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6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6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6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6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6"/>
        </w:numPr>
      </w:pPr>
      <w:r>
        <w:t xml:space="preserve">Can display risk tables, cumulative events, and censoring counts</w:t>
      </w:r>
    </w:p>
    <w:bookmarkEnd w:id="238"/>
    <w:bookmarkStart w:id="240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239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7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16</w:t>
        </w:r>
      </w:hyperlink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7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7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7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7"/>
        </w:numPr>
      </w:pPr>
      <w:r>
        <w:t xml:space="preserve">Also supports many other statistical objects beyond survival analysis</w:t>
      </w:r>
    </w:p>
    <w:bookmarkEnd w:id="240"/>
    <w:bookmarkEnd w:id="241"/>
    <w:bookmarkStart w:id="251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8"/>
        </w:numPr>
      </w:pPr>
      <w:hyperlink r:id="rId242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8"/>
        </w:numPr>
      </w:pPr>
      <w:hyperlink r:id="rId243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8"/>
        </w:numPr>
      </w:pPr>
      <w:hyperlink r:id="rId244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8"/>
        </w:numPr>
      </w:pPr>
      <w:hyperlink r:id="rId245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8"/>
        </w:numPr>
      </w:pPr>
      <w:hyperlink r:id="rId246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8"/>
        </w:numPr>
      </w:pPr>
      <w:hyperlink r:id="rId247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8"/>
        </w:numPr>
      </w:pPr>
      <w:hyperlink r:id="rId248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8"/>
        </w:numPr>
      </w:pPr>
      <w:hyperlink r:id="rId249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8"/>
        </w:numPr>
      </w:pPr>
      <w:hyperlink r:id="rId250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251"/>
    <w:bookmarkStart w:id="252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9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9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2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252"/>
    <w:bookmarkEnd w:id="253"/>
    <w:bookmarkEnd w:id="254"/>
    <w:bookmarkStart w:id="296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5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2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 Kaplan-Meier estimates of the survival functions of</w:t>
            </w:r>
            <w:r>
              <w:t xml:space="preserve"> </w:t>
            </w:r>
            <w:r>
              <w:t xml:space="preserve">those groups.</w:t>
            </w:r>
          </w:p>
          <w:bookmarkEnd w:id="256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(Kleinbaum and Klein 2012, sec. IV, pp. 67–68)</w:t>
      </w:r>
      <w:r>
        <w:t xml:space="preserve">:</w:t>
      </w:r>
    </w:p>
    <w:p>
      <w:pPr>
        <w:numPr>
          <w:ilvl w:val="0"/>
          <w:numId w:val="1031"/>
        </w:numPr>
      </w:pPr>
      <w:r>
        <w:t xml:space="preserve">The log-rank test is a large-sample chi-square test.</w:t>
      </w:r>
    </w:p>
    <w:p>
      <w:pPr>
        <w:numPr>
          <w:ilvl w:val="0"/>
          <w:numId w:val="1031"/>
        </w:numPr>
      </w:pPr>
      <w:r>
        <w:t xml:space="preserve">The log-rank test uses a test statistic 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1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1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257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at risk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 Kaplan-Meier estimator</w:t>
      </w:r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(2012, 67–69)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257"/>
    <w:bookmarkStart w:id="259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 null hypothesis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 hazard 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 risk set</w:t>
      </w:r>
      <w:r>
        <w:t xml:space="preserve"> </w:t>
      </w:r>
      <w:r>
        <w:t xml:space="preserve">(Kleinbaum and Klein 2012, 68,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box)</w:t>
      </w:r>
      <w:r>
        <w:t xml:space="preserve">:</w:t>
      </w:r>
    </w:p>
    <w:p>
      <w:pPr>
        <w:pStyle w:val="BodyText"/>
      </w:pPr>
      <w:bookmarkStart w:id="258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9"/>
    <w:bookmarkStart w:id="263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 test statistic.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2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14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260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 variance estimate is</w:t>
            </w:r>
          </w:p>
          <w:p>
            <w:pPr>
              <w:pStyle w:val="BodyText"/>
            </w:pPr>
            <w:bookmarkStart w:id="261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1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(Kleinbaum and Klein 2012, 69–70, two-group variance formula)</w:t>
            </w:r>
          </w:p>
          <w:bookmarkEnd w:id="262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bookmarkEnd w:id="263"/>
    <w:bookmarkStart w:id="264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 variance–covariance</w:t>
      </w:r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 linearly dependent</w:t>
      </w:r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(Kleinbaum and Klein 2012, 71–72 and Chapter 2 Appendix for the matrix</w:t>
      </w:r>
      <w:r>
        <w:t xml:space="preserve"> </w:t>
      </w:r>
      <w:r>
        <w:t xml:space="preserve">formula)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264"/>
    <w:bookmarkStart w:id="265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(Kleinbaum and Klein 2012, 70 (approximate formula))</w:t>
      </w:r>
    </w:p>
    <w:bookmarkEnd w:id="265"/>
    <w:bookmarkStart w:id="295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1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 Kaplan-Meier curve 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 t-test, where the null hypothesis</w:t>
            </w:r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9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6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269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0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270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 paired t-test: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27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18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(1991)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5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(2003)</w:t>
                  </w:r>
                  <w:r>
                    <w:t xml:space="preserve">)</w:t>
                  </w:r>
                </w:p>
                <w:bookmarkEnd w:id="275"/>
              </w:tc>
            </w:tr>
          </w:tbl>
          <w:bookmarkStart w:id="280" w:name="study-design-1"/>
          <w:p>
            <w:pPr>
              <w:pStyle w:val="Heading5"/>
            </w:pPr>
            <w:r>
              <w:t xml:space="preserve">Study design</w:t>
            </w:r>
          </w:p>
          <w:bookmarkStart w:id="276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276"/>
          <w:bookmarkStart w:id="277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277"/>
          <w:bookmarkStart w:id="278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278"/>
          <w:bookmarkStart w:id="279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279"/>
          <w:bookmarkEnd w:id="280"/>
          <w:bookmarkStart w:id="281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281"/>
          <w:bookmarkStart w:id="282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construct the cumulative hazard curves and compare them.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We will estimate the hazard functions, interpret, and compare them.</w:t>
            </w:r>
          </w:p>
          <w:bookmarkEnd w:id="282"/>
          <w:bookmarkStart w:id="287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6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286"/>
              </w:tc>
            </w:tr>
          </w:tbl>
          <w:bookmarkEnd w:id="287"/>
          <w:bookmarkStart w:id="288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288"/>
          <w:bookmarkStart w:id="293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 Nelson-Aalen estimator.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2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292"/>
              </w:tc>
            </w:tr>
          </w:tbl>
          <w:bookmarkEnd w:id="293"/>
          <w:bookmarkEnd w:id="294"/>
          <w:p/>
        </w:tc>
      </w:tr>
    </w:tbl>
    <w:bookmarkEnd w:id="295"/>
    <w:bookmarkEnd w:id="296"/>
    <w:bookmarkStart w:id="318" w:name="sec-nelson-aalen"/>
    <w:p>
      <w:pPr>
        <w:pStyle w:val="Heading1"/>
      </w:pPr>
      <w:r>
        <w:t xml:space="preserve">10.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7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16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9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9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15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98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8"/>
          </w:p>
          <w:bookmarkEnd w:id="29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17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0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5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4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map_chr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\(i)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(hazard_math[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(i)],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5"/>
                    <w:gridCol w:w="398"/>
                    <w:gridCol w:w="398"/>
                    <w:gridCol w:w="398"/>
                    <w:gridCol w:w="398"/>
                    <w:gridCol w:w="398"/>
                    <w:gridCol w:w="486"/>
                    <w:gridCol w:w="1106"/>
                    <w:gridCol w:w="1460"/>
                    <w:gridCol w:w="1371"/>
                    <w:gridCol w:w="1238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04"/>
                <w:p/>
              </w:tc>
            </w:tr>
          </w:tbl>
          <w:bookmarkEnd w:id="3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6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0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7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07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2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3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 median survival time.</w:t>
            </w:r>
          </w:p>
          <w:bookmarkEnd w:id="3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4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1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5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6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16"/>
          <w:p/>
        </w:tc>
      </w:tr>
    </w:tbl>
    <w:bookmarkEnd w:id="317"/>
    <w:bookmarkEnd w:id="318"/>
    <w:bookmarkStart w:id="329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9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17 (Empirical inverse survival function)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9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19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3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3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323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27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3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327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 inverse survival function 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 median survival time 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328"/>
          <w:p/>
        </w:tc>
      </w:tr>
    </w:tbl>
    <w:bookmarkEnd w:id="329"/>
    <w:bookmarkStart w:id="336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0"/>
        </w:numPr>
      </w:pPr>
      <w:r>
        <w:t xml:space="preserve">Death</w:t>
      </w:r>
    </w:p>
    <w:p>
      <w:pPr>
        <w:pStyle w:val="Compact"/>
        <w:numPr>
          <w:ilvl w:val="0"/>
          <w:numId w:val="1040"/>
        </w:numPr>
      </w:pPr>
      <w:r>
        <w:t xml:space="preserve">Hospitalization</w:t>
      </w:r>
    </w:p>
    <w:p>
      <w:pPr>
        <w:pStyle w:val="Compact"/>
        <w:numPr>
          <w:ilvl w:val="0"/>
          <w:numId w:val="1040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331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0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18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330"/>
        </w:tc>
      </w:tr>
    </w:tbl>
    <w:bookmarkEnd w:id="331"/>
    <w:bookmarkStart w:id="332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332"/>
    <w:bookmarkStart w:id="333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2"/>
        </w:numPr>
      </w:pPr>
      <w:r>
        <w:t xml:space="preserve">Pooled logistic regression</w:t>
      </w:r>
      <w:r>
        <w:t xml:space="preserve"> </w:t>
      </w:r>
      <w:r>
        <w:t xml:space="preserve">(Vittinghoff et al. 2012, sec. 5.5.2)</w:t>
      </w:r>
      <w:r>
        <w:t xml:space="preserve"> </w:t>
      </w:r>
      <w:r>
        <w:t xml:space="preserve">can handle interval censoring</w:t>
      </w:r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3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3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3"/>
        </w:numPr>
      </w:pPr>
      <w:r>
        <w:t xml:space="preserve">Requires specialized methods beyond the scope of these notes</w:t>
      </w:r>
    </w:p>
    <w:bookmarkEnd w:id="333"/>
    <w:bookmarkStart w:id="335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 randomized trial evaluating HIV prevention</w:t>
      </w:r>
      <w:r>
        <w:t xml:space="preserve"> </w:t>
      </w:r>
      <w:r>
        <w:t xml:space="preserve">(</w:t>
      </w:r>
      <w:r>
        <w:t xml:space="preserve">Bruyn et al.</w:t>
      </w:r>
      <w:r>
        <w:t xml:space="preserve"> </w:t>
      </w:r>
      <w:r>
        <w:t xml:space="preserve">2011)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 interval censoring.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 logistic regression</w:t>
      </w:r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(Vittinghoff et al. 2012, sec. 5.5.2)</w:t>
      </w:r>
      <w:r>
        <w:t xml:space="preserve">.</w:t>
      </w:r>
    </w:p>
    <w:bookmarkEnd w:id="335"/>
    <w:bookmarkEnd w:id="336"/>
    <w:bookmarkStart w:id="353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38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20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(1989)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r>
              <w:rPr>
                <w:b/>
                <w:bCs/>
              </w:rPr>
              <w:t xml:space="preserve">left-truncation</w:t>
            </w:r>
            <w:r>
              <w:t xml:space="preserve">.</w:t>
            </w:r>
          </w:p>
          <w:bookmarkEnd w:id="337"/>
          <w:p/>
        </w:tc>
      </w:tr>
    </w:tbl>
    <w:bookmarkEnd w:id="338"/>
    <w:bookmarkStart w:id="340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19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339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5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5"/>
        </w:numPr>
      </w:pPr>
      <w:r>
        <w:t xml:space="preserve">Entry into the study cohort (e.g., enrollment)</w:t>
      </w:r>
    </w:p>
    <w:bookmarkEnd w:id="340"/>
    <w:bookmarkStart w:id="341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7"/>
        </w:numPr>
      </w:pPr>
      <w:r>
        <w:t xml:space="preserve">Does NOT necessarily imply left-truncation</w:t>
      </w:r>
    </w:p>
    <w:p>
      <w:pPr>
        <w:pStyle w:val="Compact"/>
        <w:numPr>
          <w:ilvl w:val="1"/>
          <w:numId w:val="1047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8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341"/>
    <w:bookmarkStart w:id="342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49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49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342"/>
    <w:bookmarkStart w:id="343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1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1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2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2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3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343"/>
    <w:bookmarkStart w:id="344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 independent.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4"/>
        </w:numPr>
      </w:pPr>
      <w:r>
        <w:t xml:space="preserve">Disease incidence and post-diagnosis survival are independent</w:t>
      </w:r>
    </w:p>
    <w:bookmarkEnd w:id="344"/>
    <w:bookmarkStart w:id="345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5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5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5"/>
        </w:numPr>
      </w:pPr>
      <m:oMath>
        <m:r>
          <m:t>δ</m:t>
        </m:r>
      </m:oMath>
      <w:r>
        <w:t xml:space="preserve">: censoring indicator</w:t>
      </w:r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345"/>
    <w:bookmarkStart w:id="350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(Dickson et al. 1989)</w:t>
      </w:r>
      <w:r>
        <w:t xml:space="preserve">.</w:t>
      </w:r>
    </w:p>
    <w:p>
      <w:pPr>
        <w:pStyle w:val="BodyText"/>
      </w:pPr>
      <w:r>
        <w:t xml:space="preserve">Here we demonstrate the effect of left-truncation</w:t>
      </w:r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6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6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Kaplan-Meier 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349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 risk set that over-represents longer survivors.</w:t>
      </w:r>
    </w:p>
    <w:bookmarkEnd w:id="350"/>
    <w:bookmarkStart w:id="351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7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7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7"/>
        </w:numPr>
      </w:pPr>
      <w:r>
        <w:t xml:space="preserve">Hazard ratios in Cox models 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 bias using the PBC data.</w:t>
      </w:r>
      <w:r>
        <w:t xml:space="preserve"> </w:t>
      </w:r>
      <w:r>
        <w:t xml:space="preserve">The naive analysis treats all participants as entering the risk set</w:t>
      </w:r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351"/>
    <w:bookmarkStart w:id="352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8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8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352"/>
    <w:bookmarkEnd w:id="353"/>
    <w:bookmarkStart w:id="374" w:name="references"/>
    <w:p>
      <w:pPr>
        <w:pStyle w:val="Heading1"/>
      </w:pPr>
      <w:r>
        <w:t xml:space="preserve">References</w:t>
      </w:r>
    </w:p>
    <w:bookmarkStart w:id="373" w:name="refs"/>
    <w:bookmarkStart w:id="355" w:name="ref-debruyn2011mira"/>
    <w:p>
      <w:pPr>
        <w:pStyle w:val="Bibliography"/>
      </w:pPr>
      <w:r>
        <w:t xml:space="preserve">Bruyn, G. de et al.</w:t>
      </w:r>
      <w:r>
        <w:t xml:space="preserve"> 2011.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Trial.”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 </w:t>
      </w:r>
      <w:r>
        <w:t xml:space="preserve">87 (4): 309–15.</w:t>
      </w:r>
      <w:r>
        <w:t xml:space="preserve"> </w:t>
      </w:r>
      <w:hyperlink r:id="rId354">
        <w:r>
          <w:rPr>
            <w:rStyle w:val="Hyperlink"/>
          </w:rPr>
          <w:t xml:space="preserve">https://doi.org/10.1136/sti.2010.044990</w:t>
        </w:r>
      </w:hyperlink>
      <w:r>
        <w:t xml:space="preserve">.</w:t>
      </w:r>
    </w:p>
    <w:bookmarkEnd w:id="355"/>
    <w:bookmarkStart w:id="357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56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57"/>
    <w:bookmarkStart w:id="359" w:name="ref-dickson1989prognosis"/>
    <w:p>
      <w:pPr>
        <w:pStyle w:val="Bibliography"/>
      </w:pPr>
      <w:r>
        <w:t xml:space="preserve">Dickson, E. R., P. M. Grambsch, T. R. Fleming, L. D. Fisher, and A. Langworthy. 1989.</w:t>
      </w:r>
      <w:r>
        <w:t xml:space="preserve"> </w:t>
      </w:r>
      <w:r>
        <w:t xml:space="preserve">“Prognosis in Primary Biliary Cirrhosis: Model for Decision Making.”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 </w:t>
      </w:r>
      <w:r>
        <w:t xml:space="preserve">10 (1): 1–7.</w:t>
      </w:r>
      <w:r>
        <w:t xml:space="preserve"> </w:t>
      </w:r>
      <w:hyperlink r:id="rId358">
        <w:r>
          <w:rPr>
            <w:rStyle w:val="Hyperlink"/>
          </w:rPr>
          <w:t xml:space="preserve">https://doi.org/10.1002/hep.1840100102</w:t>
        </w:r>
      </w:hyperlink>
      <w:r>
        <w:t xml:space="preserve">.</w:t>
      </w:r>
    </w:p>
    <w:bookmarkEnd w:id="359"/>
    <w:bookmarkStart w:id="36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61"/>
    <w:bookmarkStart w:id="362" w:name="ref-freireich1963effect"/>
    <w:p>
      <w:pPr>
        <w:pStyle w:val="Bibliography"/>
      </w:pPr>
      <w:r>
        <w:t xml:space="preserve">Freireich, Emil J. et al.</w:t>
      </w:r>
      <w:r>
        <w:t xml:space="preserve"> 1963.</w:t>
      </w:r>
      <w:r>
        <w:t xml:space="preserve"> </w:t>
      </w:r>
      <w:r>
        <w:t xml:space="preserve">“The Effect of 6-Mercaptopurine on the Duration of Steroid-Induced Remissions in Acute Leukemia.”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21: 699–716.</w:t>
      </w:r>
    </w:p>
    <w:bookmarkEnd w:id="362"/>
    <w:bookmarkStart w:id="36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363"/>
    <w:bookmarkStart w:id="36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6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65"/>
    <w:bookmarkStart w:id="3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66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67"/>
    <w:bookmarkStart w:id="368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368"/>
    <w:bookmarkStart w:id="37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36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370"/>
    <w:bookmarkStart w:id="37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7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72"/>
    <w:bookmarkEnd w:id="373"/>
    <w:bookmarkEnd w:id="3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2" Target="media/rId272.png" /><Relationship Type="http://schemas.openxmlformats.org/officeDocument/2006/relationships/image" Id="rId11" Target="media/rId11.png" /><Relationship Type="http://schemas.openxmlformats.org/officeDocument/2006/relationships/image" Id="rId120" Target="media/rId120.png" /><Relationship Type="http://schemas.openxmlformats.org/officeDocument/2006/relationships/image" Id="rId186" Target="media/rId186.png" /><Relationship Type="http://schemas.openxmlformats.org/officeDocument/2006/relationships/image" Id="rId289" Target="media/rId289.png" /><Relationship Type="http://schemas.openxmlformats.org/officeDocument/2006/relationships/image" Id="rId108" Target="media/rId108.png" /><Relationship Type="http://schemas.openxmlformats.org/officeDocument/2006/relationships/image" Id="rId80" Target="media/rId80.png" /><Relationship Type="http://schemas.openxmlformats.org/officeDocument/2006/relationships/image" Id="rId34" Target="media/rId34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83" Target="media/rId283.png" /><Relationship Type="http://schemas.openxmlformats.org/officeDocument/2006/relationships/image" Id="rId203" Target="media/rId203.png" /><Relationship Type="http://schemas.openxmlformats.org/officeDocument/2006/relationships/image" Id="rId183" Target="media/rId183.png" /><Relationship Type="http://schemas.openxmlformats.org/officeDocument/2006/relationships/image" Id="rId309" Target="media/rId309.png" /><Relationship Type="http://schemas.openxmlformats.org/officeDocument/2006/relationships/image" Id="rId21" Target="media/rId21.png" /><Relationship Type="http://schemas.openxmlformats.org/officeDocument/2006/relationships/image" Id="rId160" Target="media/rId160.png" /><Relationship Type="http://schemas.openxmlformats.org/officeDocument/2006/relationships/image" Id="rId166" Target="media/rId166.png" /><Relationship Type="http://schemas.openxmlformats.org/officeDocument/2006/relationships/image" Id="rId196" Target="media/rId196.png" /><Relationship Type="http://schemas.openxmlformats.org/officeDocument/2006/relationships/image" Id="rId27" Target="media/rId27.png" /><Relationship Type="http://schemas.openxmlformats.org/officeDocument/2006/relationships/image" Id="rId227" Target="media/rId227.png" /><Relationship Type="http://schemas.openxmlformats.org/officeDocument/2006/relationships/image" Id="rId53" Target="media/rId53.png" /><Relationship Type="http://schemas.openxmlformats.org/officeDocument/2006/relationships/image" Id="rId266" Target="media/rId266.png" /><Relationship Type="http://schemas.openxmlformats.org/officeDocument/2006/relationships/image" Id="rId57" Target="media/rId57.png" /><Relationship Type="http://schemas.openxmlformats.org/officeDocument/2006/relationships/image" Id="rId300" Target="media/rId300.png" /><Relationship Type="http://schemas.openxmlformats.org/officeDocument/2006/relationships/image" Id="rId320" Target="media/rId320.png" /><Relationship Type="http://schemas.openxmlformats.org/officeDocument/2006/relationships/image" Id="rId324" Target="media/rId324.png" /><Relationship Type="http://schemas.openxmlformats.org/officeDocument/2006/relationships/image" Id="rId346" Target="media/rId346.png" /><Relationship Type="http://schemas.openxmlformats.org/officeDocument/2006/relationships/image" Id="rId61" Target="media/rId61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4" Target="https://cran.r-project.org/web/packages/cmprsk/index.html" TargetMode="External" /><Relationship Type="http://schemas.openxmlformats.org/officeDocument/2006/relationships/hyperlink" Id="rId242" Target="https://cran.r-project.org/web/packages/flexsurv/index.html" TargetMode="External" /><Relationship Type="http://schemas.openxmlformats.org/officeDocument/2006/relationships/hyperlink" Id="rId247" Target="https://cran.r-project.org/web/packages/frailtypack/index.html" TargetMode="External" /><Relationship Type="http://schemas.openxmlformats.org/officeDocument/2006/relationships/hyperlink" Id="rId239" Target="https://cran.r-project.org/web/packages/ggfortify/index.html" TargetMode="External" /><Relationship Type="http://schemas.openxmlformats.org/officeDocument/2006/relationships/hyperlink" Id="rId234" Target="https://cran.r-project.org/web/packages/ggsurvfit/index.html" TargetMode="External" /><Relationship Type="http://schemas.openxmlformats.org/officeDocument/2006/relationships/hyperlink" Id="rId245" Target="https://cran.r-project.org/web/packages/mstate/index.html" TargetMode="External" /><Relationship Type="http://schemas.openxmlformats.org/officeDocument/2006/relationships/hyperlink" Id="rId249" Target="https://cran.r-project.org/web/packages/pec/index.html" TargetMode="External" /><Relationship Type="http://schemas.openxmlformats.org/officeDocument/2006/relationships/hyperlink" Id="rId250" Target="https://cran.r-project.org/web/packages/prodlim/index.html" TargetMode="External" /><Relationship Type="http://schemas.openxmlformats.org/officeDocument/2006/relationships/hyperlink" Id="rId248" Target="https://cran.r-project.org/web/packages/riskRegression/index.html" TargetMode="External" /><Relationship Type="http://schemas.openxmlformats.org/officeDocument/2006/relationships/hyperlink" Id="rId243" Target="https://cran.r-project.org/web/packages/rms/index.html" TargetMode="External" /><Relationship Type="http://schemas.openxmlformats.org/officeDocument/2006/relationships/hyperlink" Id="rId237" Target="https://cran.r-project.org/web/packages/survminer/index.html" TargetMode="External" /><Relationship Type="http://schemas.openxmlformats.org/officeDocument/2006/relationships/hyperlink" Id="rId246" Target="https://cran.r-project.org/web/packages/timereg/index.html" TargetMode="External" /><Relationship Type="http://schemas.openxmlformats.org/officeDocument/2006/relationships/hyperlink" Id="rId220" Target="https://cran.r-project.org/web/views/Survival.html" TargetMode="External" /><Relationship Type="http://schemas.openxmlformats.org/officeDocument/2006/relationships/hyperlink" Id="rId232" Target="https://danieldsjoberg.com/ggsurvfit/" TargetMode="External" /><Relationship Type="http://schemas.openxmlformats.org/officeDocument/2006/relationships/hyperlink" Id="rId358" Target="https://doi.org/10.1002/hep.1840100102" TargetMode="External" /><Relationship Type="http://schemas.openxmlformats.org/officeDocument/2006/relationships/hyperlink" Id="rId371" Target="https://doi.org/10.1007/978-1-4614-1353-0" TargetMode="External" /><Relationship Type="http://schemas.openxmlformats.org/officeDocument/2006/relationships/hyperlink" Id="rId354" Target="https://doi.org/10.1136/sti.2010.044990" TargetMode="External" /><Relationship Type="http://schemas.openxmlformats.org/officeDocument/2006/relationships/hyperlink" Id="rId356" Target="https://doi.org/10.1182/blood.V78.3.838.838" TargetMode="External" /><Relationship Type="http://schemas.openxmlformats.org/officeDocument/2006/relationships/hyperlink" Id="rId360" Target="https://doi.org/10.1201/9781315182780" TargetMode="External" /><Relationship Type="http://schemas.openxmlformats.org/officeDocument/2006/relationships/hyperlink" Id="rId369" Target="https://doi.org/10.5281/ZENODO.4305949" TargetMode="External" /><Relationship Type="http://schemas.openxmlformats.org/officeDocument/2006/relationships/hyperlink" Id="rId235" Target="https://github.com/pharmaverse/ggsurvfit" TargetMode="External" /><Relationship Type="http://schemas.openxmlformats.org/officeDocument/2006/relationships/hyperlink" Id="rId366" Target="https://link.springer.com/book/10.1007/978-1-4419-6646-9" TargetMode="External" /><Relationship Type="http://schemas.openxmlformats.org/officeDocument/2006/relationships/hyperlink" Id="rId364" Target="https://link.springer.com/book/10.1007/b97377" TargetMode="External" /><Relationship Type="http://schemas.openxmlformats.org/officeDocument/2006/relationships/hyperlink" Id="rId40" Target="https://statproofbook.github.io/P/mean-nnrvar.html" TargetMode="External" /><Relationship Type="http://schemas.openxmlformats.org/officeDocument/2006/relationships/hyperlink" Id="rId233" Target="https://www.danieldsjoberg.com/" TargetMode="External" /><Relationship Type="http://schemas.openxmlformats.org/officeDocument/2006/relationships/hyperlink" Id="rId156" Target="nonparametric-models.qmd#def-empirical-cdf" TargetMode="External" /><Relationship Type="http://schemas.openxmlformats.org/officeDocument/2006/relationships/hyperlink" Id="rId152" Target="probability.qmd#def-conditional-prob" TargetMode="External" /><Relationship Type="http://schemas.openxmlformats.org/officeDocument/2006/relationships/hyperlink" Id="rId72" Target="probability.qmd#def-pdf" TargetMode="External" /><Relationship Type="http://schemas.openxmlformats.org/officeDocument/2006/relationships/hyperlink" Id="rId67" Target="probability.qmd#def-quantile-function" TargetMode="External" /><Relationship Type="http://schemas.openxmlformats.org/officeDocument/2006/relationships/hyperlink" Id="rId20" Target="probability.qmd#sec-prob-dens" TargetMode="External" /><Relationship Type="http://schemas.openxmlformats.org/officeDocument/2006/relationships/hyperlink" Id="rId136" Target="probability.qmd#sec-weibull" TargetMode="External" /><Relationship Type="http://schemas.openxmlformats.org/officeDocument/2006/relationships/hyperlink" Id="rId76" Target="probability.qmd#thm-prob-subset" TargetMode="External" /><Relationship Type="http://schemas.openxmlformats.org/officeDocument/2006/relationships/hyperlink" Id="rId50" Target="probability.qmd#thm-surv-m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2026-10-05T19:48:12Z</dcterms:created>
  <dcterms:modified xsi:type="dcterms:W3CDTF">2026-10-05T19:48:12Z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