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2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Specifically, the model relates the expected outcome count</w:t>
      </w:r>
      <w:r>
        <w:t xml:space="preserve"> </w:t>
      </w:r>
      <w:r>
        <w:t xml:space="preserve">to the event rate and linear predictor as: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represents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(such as person-years or observation time)</w:t>
      </w:r>
      <w:r>
        <w:t xml:space="preserve"> </w:t>
      </w:r>
      <w:r>
        <w:t xml:space="preserve">and plays a structural role in scaling rates to expected counts.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a difference of</w:t>
      </w:r>
      <w:r>
        <w:rPr>
          <w:b/>
          <w:bCs/>
        </w:rP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between two values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corresponds to a rate ratio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Specifically,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the vector of all covariates except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abbreviate the two expected counts being compared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linear predictor)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b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(canceling terms shared by both patterns)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(factoring out coefficient 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rate ratio between the two covariate patterns</w:t>
      </w:r>
      <w:r>
        <w:t xml:space="preserve"> </w:t>
      </w:r>
      <w:r>
        <w:t xml:space="preserve">is therefore the exponential of that difference in log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identity 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v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difference in log expectations)</m:t>
              </m:r>
            </m:e>
          </m:eqArr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78" w:name="diagnostics"/>
    <w:p>
      <w:pPr>
        <w:pStyle w:val="Heading1"/>
      </w:pPr>
      <w:r>
        <w:t xml:space="preserve">6. Diagnostics</w:t>
      </w:r>
    </w:p>
    <w:bookmarkStart w:id="77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66"/>
    <w:bookmarkStart w:id="68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 hat matrix.</w:t>
      </w:r>
      <w:r>
        <w:t xml:space="preserve"> </w:t>
      </w:r>
      <w:r>
        <w:t xml:space="preserve">That definition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68"/>
    <w:bookmarkStart w:id="76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5"/>
        </w:tc>
      </w:tr>
    </w:tbl>
    <w:bookmarkEnd w:id="76"/>
    <w:bookmarkEnd w:id="77"/>
    <w:bookmarkEnd w:id="78"/>
    <w:bookmarkStart w:id="82" w:name="zero-inflation"/>
    <w:p>
      <w:pPr>
        <w:pStyle w:val="Heading1"/>
      </w:pPr>
      <w:r>
        <w:t xml:space="preserve">7. Zero-inflation</w:t>
      </w:r>
    </w:p>
    <w:bookmarkStart w:id="81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 Poisson distribution,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 Law of Total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 overdispersed</w:t>
            </w:r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p/>
        </w:tc>
      </w:tr>
    </w:tbl>
    <w:bookmarkEnd w:id="81"/>
    <w:bookmarkEnd w:id="82"/>
    <w:bookmarkStart w:id="98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conditional variance</w:t>
      </w:r>
      <w:r>
        <w:t xml:space="preserve"> </w:t>
      </w:r>
      <w:r>
        <w:t xml:space="preserve">to equal the conditional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83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 standard errors produced by standard maximum likelihood estimation</w:t>
      </w:r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 confidence intervals</w:t>
      </w:r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 Pearson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statistic,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 negative binomial 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6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 overdispersion 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 standard errors</w:t>
      </w:r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 Poisson distribution</w:t>
      </w:r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 conditional variance 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p>
      <w:r>
        <w:pict>
          <v:rect style="width:0;height:1.5pt" o:hralign="center" o:hrstd="t" o:hr="t"/>
        </w:pict>
      </w:r>
    </w:p>
    <w:bookmarkStart w:id="95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89"/>
          <w:p/>
        </w:tc>
      </w:tr>
    </w:tbl>
    <w:bookmarkStart w:id="92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1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2"/>
    <w:bookmarkStart w:id="94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4"/>
    <w:bookmarkEnd w:id="95"/>
    <w:bookmarkEnd w:id="96"/>
    <w:bookmarkStart w:id="97" w:name="quasipoisson-regression"/>
    <w:p>
      <w:pPr>
        <w:pStyle w:val="Heading2"/>
      </w:pPr>
      <w:r>
        <w:t xml:space="preserve">8.2 Quasipoisson regression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 maximum likelihood,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Pearson residuals.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 standard errors 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m:oMath>
        <m:r>
          <m:t>p</m:t>
        </m:r>
      </m:oMath>
      <w:r>
        <w:t xml:space="preserve">-values</w:t>
      </w:r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 likelihood: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 prediction intervals 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97"/>
    <w:bookmarkEnd w:id="98"/>
    <w:bookmarkStart w:id="100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9">
        <w:r>
          <w:rPr>
            <w:rStyle w:val="Hyperlink"/>
          </w:rPr>
          <w:t xml:space="preserve">https://bookdown.org/roback/bookdown-BeyondMLR/ch-poissonreg.html</w:t>
        </w:r>
      </w:hyperlink>
    </w:p>
    <w:bookmarkEnd w:id="100"/>
    <w:bookmarkStart w:id="10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3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 OLS normal equations.</w:t>
            </w:r>
          </w:p>
          <w:p/>
        </w:tc>
      </w:tr>
    </w:tbl>
    <w:bookmarkEnd w:id="104"/>
    <w:bookmarkStart w:id="116" w:name="references"/>
    <w:p>
      <w:pPr>
        <w:pStyle w:val="Heading1"/>
      </w:pPr>
      <w:r>
        <w:t xml:space="preserve">References</w:t>
      </w:r>
    </w:p>
    <w:bookmarkStart w:id="115" w:name="refs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9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3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2" Target="media/rId72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3" Target="https://morrison-lab.github.io/mds/algebra-exponentials.html#cor-exp-sum" TargetMode="External" /><Relationship Type="http://schemas.openxmlformats.org/officeDocument/2006/relationships/hyperlink" Id="rId103" Target="https://morrison-lab.github.io/mds/linear-algebra-vectors.html#def-orthogonal-vectors" TargetMode="External" /><Relationship Type="http://schemas.openxmlformats.org/officeDocument/2006/relationships/hyperlink" Id="rId13" Target="https://morrison-lab.github.io/pds/distributions.html#def-exposure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87" Target="https://morrison-lab.github.io/pds/distributions.html#sec-nb-dist" TargetMode="External" /><Relationship Type="http://schemas.openxmlformats.org/officeDocument/2006/relationships/hyperlink" Id="rId11" Target="https://morrison-lab.github.io/sds/data.html#sec-count-vars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3" Target="https://morrison-lab.github.io/mds/algebra-exponentials.html#cor-exp-sum" TargetMode="External" /><Relationship Type="http://schemas.openxmlformats.org/officeDocument/2006/relationships/hyperlink" Id="rId103" Target="https://morrison-lab.github.io/mds/linear-algebra-vectors.html#def-orthogonal-vectors" TargetMode="External" /><Relationship Type="http://schemas.openxmlformats.org/officeDocument/2006/relationships/hyperlink" Id="rId13" Target="https://morrison-lab.github.io/pds/distributions.html#def-exposure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87" Target="https://morrison-lab.github.io/pds/distributions.html#sec-nb-dist" TargetMode="External" /><Relationship Type="http://schemas.openxmlformats.org/officeDocument/2006/relationships/hyperlink" Id="rId11" Target="https://morrison-lab.github.io/sds/data.html#sec-count-vars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2026-10-11T21:45:21Z</dcterms:created>
  <dcterms:modified xsi:type="dcterms:W3CDTF">2026-10-11T21:45:21Z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