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&amp;\stackrel{\text{def}}{=}\operatorname{P}(Y_i=1)
    \\ \operatorname{P}(Y_i=0) &amp;= 1-{\color{red}{\pi_i}}
    \\
    \operatorname{P}(Y_i=y_i) &amp;= \operatorname{P}(Y_i=1)^{y_i} \operatorname{P}(Y_i=0)^{1-y_i}
    \\
    &amp;= (\pi_i)^{y_i} (1-\pi_i)^{1-y_i}
    \\
    {\color{red}{\mathcal{L}_i(\pi_i)}} &amp;\stackrel{\text{def}}{=}\operatorname{P}(Y_i=y_i)
    \\
    \mathcal{L}(\mathord{\smash[b]{\underset{\raise.3ex\hbox{$\scriptstyle\sim$}}{\pi}}\vphantom{\pi}}) &amp;\stackrel{\text{def}}{=}\operatorname{P}(Y_1=y_1, \ldots, Y_n = y_n)
    \\
    &amp;= \prod_{i=1}^n\operatorname{P}(Y_i=y_i)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&amp;\stackrel{\text{def}}{=}\operatorname{log}\mathopen{}\left\{\mathcal{L}(\mathord{\smash[b]{\underset{\raise.3ex\hbox{$\scriptstyle\sim$}}{\pi}}\vphantom{\pi}})\right\}\mathclose{}
    \\
    &amp;= \operatorname{log}\mathopen{}\left\{\prod_{i=1}^n\mathcal{L}_i(\pi_i)\right\}\mathclose{}
    \\
    &amp;= \sum_{i=1}^n\operatorname{log}\mathopen{}\left\{\mathcal{L}_i(\pi_i)\right\}\mathclose{}
    \\
    &amp;= \sum_{i=1}^n\ell_i(\pi_i)
    \\
    \ell_i(\pi_i) &amp;\stackrel{\text{def}}{=}\operatorname{log}\mathopen{}\left\{\mathcal{L}_i(\pi_i)\right\}\mathclose{}
    \\ &amp;= y_i \operatorname{log}\mathopen{}\left\{\pi_i\right\}\mathclose{} + (1-y_i) \operatorname{log}\mathopen{}\left\{1-\pi_i\right\}\mathclose{}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\operatorname{log}\mathopen{}\left\{\pi_i\right\}\mathclose{} + (1-y_i) \operatorname{log}\mathopen{}\left\{1-\pi_i\right\}\mathclose{}\right)\mathclose{}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tbl-beetle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"glmx"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6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" w:name="fig-beetles_1a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base_size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-1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69"/>
              </w:tc>
            </w:tr>
          </w:tbl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eetles_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`dose` is log10 of the dose in mg/L, and the models use it as is;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plot functions take mg/L and convert: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4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4"/>
              </w:tc>
            </w:tr>
          </w:tbl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beetles_3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(plot2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9"/>
              </w:tc>
            </w:tr>
          </w:tbl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beetles_4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84"/>
              </w:tc>
            </w:tr>
          </w:tbl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beetles_5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7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</w:p>
                <w:bookmarkEnd w:id="89"/>
              </w:tc>
            </w:tr>
          </w:tbl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tbl-beetles-model-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grouped (binomial)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94"/>
                <w:p/>
              </w:tc>
            </w:tr>
          </w:tbl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beetles-model-fitted-valu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(beetles_glm_grouped)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(beetles_glm_grouped,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</w:p>
                <w:bookmarkEnd w:id="96"/>
              </w:tc>
            </w:tr>
          </w:tbl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beetles-lo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 in long format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481 × 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dose  died     n   pct survived dose_c outcome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&lt;int&gt; &lt;int&gt; &lt;dbl&gt;    &lt;int&gt;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471 more rows</w:t>
                  </w:r>
                </w:p>
                <w:bookmarkEnd w:id="100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beetles-model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individual</w:t>
                  </w:r>
                  <w:r>
                    <w:t xml:space="preserve"> </w:t>
                  </w:r>
                  <w:hyperlink r:id="rId21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0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logistic-deriv-matri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Matrix of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derivatives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= number of predictors,</w:t>
                  </w:r>
                  <w:r>
                    <w:t xml:space="preserve"> </w:t>
                  </w:r>
                  <w:r>
                    <w:t xml:space="preserve">$\eta\stackrel{\text{def}}{=}\mathord{\smash[b]{\underset{\raise.3ex\hbox{$\scriptstyle\sim$}}{x}}\vphantom{x}} \cdot \mathord{\smash[b]{\underset{\raise.3ex\hbox{$\scriptstyle\sim$}}{\beta}}\vphantom{\beta}}$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ω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π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ω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entry is the derivative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column quantity</w:t>
                  </w:r>
                  <w:r>
                    <w:t xml:space="preserve"> </w:t>
                  </w:r>
                  <w:r>
                    <w:t xml:space="preserve">with respect to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row quantity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Entries marked</w:t>
                  </w:r>
                  <w:r>
                    <w:t xml:space="preserve"> </w:t>
                  </w:r>
                  <w:r>
                    <w:t xml:space="preserve">“undef”</w:t>
                  </w:r>
                  <w:r>
                    <w:t xml:space="preserve"> </w:t>
                  </w:r>
                  <w:r>
                    <w:t xml:space="preserve">are not defined</w:t>
                  </w:r>
                  <w:r>
                    <w:t xml:space="preserve"> </w:t>
                  </w:r>
                  <w:r>
                    <w:t xml:space="preserve">because the vector-to-scalar map is not invertible:</w:t>
                  </w:r>
                  <w:r>
                    <w:t xml:space="preserve"> </w:t>
                  </w:r>
                  <w:r>
                    <w:t xml:space="preserve">the scalar row quantity does not determine</w:t>
                  </w:r>
                  <w:r>
                    <w:t xml:space="preserve"> </w:t>
                  </w:r>
                  <w:r>
                    <w:t xml:space="preserve">the vector column quantity.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      </w:r>
                </w:p>
                <w:bookmarkEnd w:id="143"/>
              </w:tc>
            </w:tr>
          </w:tbl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$\operatorname{logit}\mathopen{}\left\{\pi(\mathord{\smash[b]{\underset{\raise.3ex\hbox{$\scriptstyle\sim$}}{x}}\vphantom{x}})\right\}\mathclose{}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\\
    &amp;= \operatorname{exp}\mathopen{}\left\{{\color{red}{\eta(\mathord{\smash[b]{\underset{\raise.3ex\hbox{$\scriptstyle\sim$}}{x}}\vphantom{x}}) - \eta(\mathord{{\mathord{\smash[b]{\underset{\raise.3ex\hbox{$\scriptstyle\sim$}}{x}}\vphantom{x}}^*}})}}\right\}\mathclose{}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\operatorname{exp}\mathopen{}\left\{{\color{red}{\eta(\mathord{\smash[b]{\underset{\raise.3ex\hbox{$\scriptstyle\sim$}}{x}}\vphantom{x}}) - \eta(\mathord{{\mathord{\smash[b]{\underset{\raise.3ex\hbox{$\scriptstyle\sim$}}{x}}\vphantom{x}}^*}})}}\right\}\mathclose{}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\operatorname{exp}\mathopen{}\left\{{\color{red}{\Delta\eta}}\right\}\mathclose{}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\operatorname{exp}\mathopen{}\left\{\Delta\eta\right\}\mathclose{}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\operatorname{exp}\mathopen{}\left\{(\Delta\mathord{\smash[b]{\underset{\raise.3ex\hbox{$\scriptstyle\sim$}}{x}}\vphantom{x}})\cdot \hat{\beta}\right\}\mathclose{}
    &amp;&amp; \text{(odds ratio from difference in covariate patterns)}
    \\
    &amp;= \operatorname{exp}\mathopen{}\left\{0\cdot\hat{\beta}_0 + (0.0335)\cdot \hat{\beta}_1\right\}\mathclose{}
    &amp;&amp; \text{(expand the dot product)}
    \\
    &amp;= \operatorname{exp}\mathopen{}\left\{(0.0335)\cdot (34.270326)\right\}\mathclose{}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\operatorname{log}\mathopen{}\left\{\text{ϙ}_{\omega}(\mathord{\smash[b]{\underset{\raise.3ex\hbox{$\scriptstyle\sim$}}{x}}\vphantom{x}},\mathord{{\mathord{\smash[b]{\underset{\raise.3ex\hbox{$\scriptstyle\sim$}}{x}}\vphantom{x}}^*}})\right\}\mathclose{} &amp;= \operatorname{log}\mathopen{}\left\{\operatorname{exp}\mathopen{}\left\{\Delta\eta\right\}\mathclose{}\right\}\mathclose{}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\operatorname{expit}\mathopen{}\left\{\eta(\mathord{\smash[b]{\underset{\raise.3ex\hbox{$\scriptstyle\sim$}}{x}}\vphantom{x}})\right\}\mathclose{}$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3" w:name="tbl-beetles-data-reca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Mortality rates of adult flour beetles after</w:t>
                        </w:r>
                        <w:r>
                          <w:t xml:space="preserve"> </w:t>
                        </w:r>
                        <w:r>
                          <w:t xml:space="preserve">five hours’ exposure to gaseous carbon disulphide</w:t>
                        </w:r>
                        <w:r>
                          <w:t xml:space="preserve"> </w:t>
                        </w:r>
                        <w:r>
                          <w:t xml:space="preserve">[8]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(glmx)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(BeetleMortality)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BeetleMortality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pct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survived =</w:t>
                        </w:r>
                        <w:r>
                          <w:rPr>
                            <w:rStyle w:val="NormalTok"/>
                          </w:rPr>
                          <w:t xml:space="preserve"> n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died,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dose_c =</w:t>
                        </w:r>
                        <w:r>
                          <w:rPr>
                            <w:rStyle w:val="NormalTok"/>
                          </w:rPr>
                          <w:t xml:space="preserve"> dose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mean</w:t>
                        </w:r>
                        <w:r>
                          <w:rPr>
                            <w:rStyle w:val="NormalTok"/>
                          </w:rPr>
                          <w:t xml:space="preserve">(dose)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beetles_long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everything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outcome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died),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survived)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8 ×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dose  died     n   pct survived   dose_c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&lt;int&gt; &lt;int&gt; &lt;dbl&gt;    &lt;int&gt;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1.69     6    59 0.102       53 -0.103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1.72    13    60 0.217       47 -0.0692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1.76    18    62 0.290       44 -0.0382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1.78    28    56 0.5         28 -0.00923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1.81    52    63 0.825       11  0.0179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1.84    53    59 0.898        6  0.0435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7  1.86    61    62 0.984        1  0.0676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8  1.88    60    60 1            0  0.0905</w:t>
                        </w:r>
                      </w:p>
                      <w:bookmarkEnd w:id="203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4" w:name="tbl-beetles-model-uncentere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Fitted</w:t>
                        </w:r>
                        <w:r>
                          <w:t xml:space="preserve"> </w:t>
                        </w:r>
                        <w:hyperlink w:anchor="def-logistic-regression">
                          <w:r>
                            <w:rPr>
                              <w:rStyle w:val="Hyperlink"/>
                            </w:rPr>
                            <w:t xml:space="preserve">logistic regression model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beetles_glm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1320"/>
                          <w:gridCol w:w="1320"/>
                          <w:gridCol w:w="1320"/>
                          <w:gridCol w:w="1320"/>
                          <w:gridCol w:w="132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Log-Odds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z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-60.72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5.18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(-71.44, -51.08)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-11.72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34.27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(28.85, 40.30)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11.77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</w:tbl>
                      <w:bookmarkEnd w:id="204"/>
                      <w:p/>
                    </w:tc>
                  </w:tr>
                </w:tbl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&amp;\stackrel{\text{def}}{=}\operatorname{log}\mathopen{}\left\{\mathcal{L}(\mathord{\smash[b]{\underset{\raise.3ex\hbox{$\scriptstyle\sim$}}{\beta}}\vphantom{\beta}}, \mathord{\smash[b]{\underset{\raise.3ex\hbox{$\scriptstyle\sim$}}{y}}\vphantom{y}}) \right\}\mathclose{}
    &amp;&amp; \text{(definition of log-likelihood)}
    \\ &amp;= \operatorname{log}\mathopen{}\left\{\prod_{i=1}^n\mathcal{L}_i(\mathord{\smash[b]{\underset{\raise.3ex\hbox{$\scriptstyle\sim$}}{\beta}}\vphantom{\beta}}, y_i)\right\}\mathclose{}
    &amp;&amp; \text{(likelihood factors, by independence)}
    \\ &amp;= \sum_{i=1}^n\operatorname{log}\mathopen{}\left\{\mathcal{L}_i(\mathord{\smash[b]{\underset{\raise.3ex\hbox{$\scriptstyle\sim$}}{\beta}}\vphantom{\beta}}, y_i)\right\}\mathclose{}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\stackrel{\text{def}}{=}\operatorname{log}\mathopen{}\left\{\mathcal{L}_i\right\}\mathclose{}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5" w:name="tbl-beetles-model-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data,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centered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(0.48, 1.02)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 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15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\operatorname{log}\mathopen{}\left\{1+\omega_i\right\}\mathclose{}\right)\mathclose{}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\mathord{\smash[b]{\underset{\raise.3ex\hbox{$\scriptstyle\sim$}}{\beta}}\vphantom{\beta}}}\operatorname{log}\mathopen{}\left\{1+\omega_i\right\}\mathclose{}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\mathord{\smash[b]{\underset{\raise.3ex\hbox{$\scriptstyle\sim$}}{\beta}}\vphantom{\beta}}}\operatorname{log}\mathopen{}\left\{1+\omega_i\right\}\mathclose{}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u_i}\operatorname{log}\mathopen{}\left\{u_i\right\}\mathclose{}\right)\mathclose{}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u}\operatorname{log}\mathopen{}\left\{u\right\}\mathclose{}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\operatorname{E}[Y_i|\mathord{\smash[b]{\underset{\raise.3ex\hbox{$\scriptstyle\sim$}}{X}}\vphantom{X}}_i=\mathord{\smash[b]{\underset{\raise.3ex\hbox{$\scriptstyle\sim$}}{x}}\vphantom{x}}_i])
    &amp;&amp; \text{(definition: } \mu_i \stackrel{\text{def}}{=}\operatorname{E}[Y_i|\mathord{\smash[b]{\underset{\raise.3ex\hbox{$\scriptstyle\sim$}}{X}}\vphantom{X}}_i=\mathord{\smash[b]{\underset{\raise.3ex\hbox{$\scriptstyle\sim$}}{x}}\vphantom{x}}_i]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\operatorname{E}[Y|\mathord{\smash[b]{\underset{\raise.3ex\hbox{$\scriptstyle\sim$}}{X}}\vphantom{X}}=\mathord{\smash[b]{\underset{\raise.3ex\hbox{$\scriptstyle\sim$}}{x}}\vphantom{x}}]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\mathopen{}\left\{1:p\right\}\mathclose{}$$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
    &amp;&amp; \text{(Bernoulli conditional variance: } \operatorname{Var}\mathopen{}\left(Y_i|\mathord{\smash[b]{\underset{\raise.3ex\hbox{$\scriptstyle\sim$}}{X}}\vphantom{X}}_i=\mathord{\smash[b]{\underset{\raise.3ex\hbox{$\scriptstyle\sim$}}{x}}\vphantom{x}}_i\right)\mathclose{}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(p+1)}}}
    &amp;&amp; \text{(move the scalar factor } -\operatorname{Var}\mathopen{}\left(Y_i|\mathord{\smash[b]{\underset{\raise.3ex\hbox{$\scriptstyle\sim$}}{X}}\vphantom{X}}_i=\mathord{\smash[b]{\underset{\raise.3ex\hbox{$\scriptstyle\sim$}}{x}}\vphantom{x}}_i\right)\mathclose{}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\stackrel{\text{def}}{=}\text{diag}(\operatorname{Var}\mathopen{}\left(Y_i|\mathord{\smash[b]{\underset{\raise.3ex\hbox{$\scriptstyle\sim$}}{X}}\vphantom{X}}_i=\mathord{\smash[b]{\underset{\raise.3ex\hbox{$\scriptstyle\sim$}}{x}}\vphantom{x}}_i\right)\mathclose{})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\stackrel{\text{def}}{=}\text{diag}(\operatorname{Var}\mathopen{}\left(Y_i|\mathord{\smash[b]{\underset{\raise.3ex\hbox{$\scriptstyle\sim$}}{X}}\vphantom{X}}_i=\mathord{\smash[b]{\underset{\raise.3ex\hbox{$\scriptstyle\sim$}}{x}}\vphantom{x}}_i\right)\mathclose{})$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$\operatorname{Var}\mathopen{}\left(Y_i|\mathord{\smash[b]{\underset{\raise.3ex\hbox{$\scriptstyle\sim$}}{X}}\vphantom{X}}_i=\mathord{\smash[b]{\underset{\raise.3ex\hbox{$\scriptstyle\sim$}}{x}}\vphantom{x}}_i\right)\mathclose{}$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$\operatorname{Var}\mathopen{}\left(Y_i|\mathord{\smash[b]{\underset{\raise.3ex\hbox{$\scriptstyle\sim$}}{X}}\vphantom{X}}_i=\mathord{\smash[b]{\underset{\raise.3ex\hbox{$\scriptstyle\sim$}}{x}}\vphantom{x}}_i\right)\mathclose{}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\operatorname{expit}\mathopen{}\left\{\mathord{\smash[b]{\underset{\raise.3ex\hbox{$\scriptstyle\sim$}}{x}}\vphantom{x}}_i \cdot \mathord{\smash[b]{\underset{\raise.3ex\hbox{$\scriptstyle\sim$}}{\beta}}\vphantom{\beta}}\right\}\mathclose{}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\operatorname{expit}\mathopen{}\left\{{\mathord{\smash[b]{\underset{\raise.3ex\hbox{$\scriptstyle\sim$}}{x}}\vphantom{x}}_i}^{\top}\mathord{\smash[b]{\underset{\raise.3ex\hbox{$\scriptstyle\sim$}}{\beta}}\vphantom{\beta}}\right\}\mathclose{}\right)\mathclose{}}_{1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{\mathopen{}\left(\ell''\mathopen{}\left(\mathord{\smash[b]{\underset{\raise.3ex\hbox{$\scriptstyle\sim$}}{y}}\vphantom{y}};{\widehat{\theta}}^*\right)\mathclose{}\right)\mathclose{}}^{-1}
    \ell'\mathopen{}\left(\mathord{\smash[b]{\underset{\raise.3ex\hbox{$\scriptstyle\sim$}}{y}}\vphantom{y}};{\widehat{\theta}}^*\right)\mathclose{}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5" w:name="tbl-beetles-glm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Fitted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glm(formula = outcome ~ dose, family = "binomial", data = beetles_long,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control = glm.control(trace = TRUE))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-60.72       5.18   -11.7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34.27       2.91    11.8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binomial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645.44  on 480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372.47  on 479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376.5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5</w:t>
                  </w:r>
                </w:p>
                <w:bookmarkEnd w:id="26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tbl-beetles-glm-ungrouped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Parameter estimate covariance matrix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    dose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26.8393 -15.08189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-15.0819   8.48041</w:t>
                  </w:r>
                </w:p>
                <w:bookmarkEnd w:id="266"/>
              </w:tc>
            </w:tr>
          </w:tbl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0" w:name="tbl-beetles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0"/>
                <w:p/>
              </w:tc>
            </w:tr>
          </w:tbl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1" w:name="tbl-beetles-wald-te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13: Exponentiated coefficients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100"/>
                    <w:gridCol w:w="2420"/>
                    <w:gridCol w:w="880"/>
                    <w:gridCol w:w="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4.27e-27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2.21e-26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(9.39e-32, 6.56e-23)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7.65e+14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2.23e+15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(3.40e+12, 3.18e+17)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1"/>
                <w:p/>
              </w:tc>
            </w:tr>
          </w:tbl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\mathop{\widehat{\operatorname{SE}}}\nolimits\mathopen{}\left(\hat\pi(\mathord{\smash[b]{\underset{\raise.3ex\hbox{$\scriptstyle\sim$}}{x}}\vphantom{x}})\right)\mathclose{}$$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$\mathop{\widehat{\operatorname{SE}}}\nolimits\mathopen{}\left(\hat\pi(\mathord{\smash[b]{\underset{\raise.3ex\hbox{$\scriptstyle\sim$}}{x}}\vphantom{x}})\right)\mathclose{}$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{\color{teal}{\mathop{\widehat{\operatorname{SE}}}\nolimits\mathopen{}\left(\hat\eta(\mathord{\smash[b]{\underset{\raise.3ex\hbox{$\scriptstyle\sim$}}{x}}\vphantom{x}})\right)\mathclose{}}}$$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\mathop{\widehat{\operatorname{SE}}}\nolimits\mathopen{}\left(\hat\eta(\mathord{\smash[b]{\underset{\raise.3ex\hbox{$\scriptstyle\sim$}}{x}}\vphantom{x}})\right)\mathclose{}\right)\mathclose{}$$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$${\color{teal}{\mathop{\widehat{\operatorname{SE}}}\nolimits\mathopen{}\left(\hat\eta(\mathord{\smash[b]{\underset{\raise.3ex\hbox{$\scriptstyle\sim$}}{x}}\vphantom{x}})\right)\mathclose{}}}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{\color{green}{\operatorname{SE}\mathopen{}\left(\hat\eta(\mathord{\smash[b]{\underset{\raise.3ex\hbox{$\scriptstyle\sim$}}{x}}\vphantom{x}})\right)\mathclose{}}} =
    \sqrt{{\color{red}{\operatorname{Var}\mathopen{}\left(\hat\eta(\mathord{\smash[b]{\underset{\raise.3ex\hbox{$\scriptstyle\sim$}}{x}}\vphantom{x}})\right)\mathclose{}}}}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{\color{red}{\operatorname{Var}\mathopen{}\left(\hat\eta(\mathord{\smash[b]{\underset{\raise.3ex\hbox{$\scriptstyle\sim$}}{x}}\vphantom{x}})\right)\mathclose{}}}
    &amp;= \operatorname{Var}\mathopen{}\left({\mathord{\smash[b]{\underset{\raise.3ex\hbox{$\scriptstyle\sim$}}{x}}\vphantom{x}}}^{\top}\hat{\beta}\right)\mathclose{}
    \\
    &amp;= {\mathord{\smash[b]{\underset{\raise.3ex\hbox{$\scriptstyle\sim$}}{x}}\vphantom{x}}}^{\top}\operatorname{Cov}\mathopen{}\left(\hat{\beta}\right)\mathclose{}\mathord{\smash[b]{\underset{\raise.3ex\hbox{$\scriptstyle\sim$}}{x}}\vphantom{x}}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{\color{orange}{\mathop{\widehat{\operatorname{Var}}}\nolimits\mathopen{}\left(\hat\eta(\mathord{\smash[b]{\underset{\raise.3ex\hbox{$\scriptstyle\sim$}}{x}}\vphantom{x}})\right)\mathclose{}}}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{\color{teal}{\mathop{\widehat{\operatorname{SE}}}\nolimits\mathopen{}\left(\hat\eta(\mathord{\smash[b]{\underset{\raise.3ex\hbox{$\scriptstyle\sim$}}{x}}\vphantom{x}})\right)\mathclose{}}}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8" w:name="tbl-beetles-pred-logodd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14: Predicted log-odds and 95% CI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logistic regression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430"/>
                          <w:gridCol w:w="1033"/>
                          <w:gridCol w:w="516"/>
                          <w:gridCol w:w="1463"/>
                          <w:gridCol w:w="1463"/>
                          <w:gridCol w:w="602"/>
                          <w:gridCol w:w="1205"/>
                          <w:gridCol w:w="120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logodds_hat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pi_hat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ci_lower_prob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ci_upper_prob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-2.458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0.263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-2.974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-1.942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0.049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0.125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0.969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0.145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1.253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0.665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0.778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4.396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0.377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3.656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5.136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0.988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0.994</w:t>
                              </w:r>
                            </w:p>
                          </w:tc>
                        </w:tr>
                      </w:tbl>
                      <w:bookmarkEnd w:id="308"/>
                      <w:p/>
                    </w:tc>
                  </w:tr>
                </w:tbl>
              </w:tc>
            </w:tr>
          </w:tbl>
          <w:bookmarkEnd w:id="309"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{\color{red}{\operatorname{Var}\mathopen{}\left(\widehat{\Delta\eta}\right)\mathclose{}}}
    &amp;= \operatorname{Var}\mathopen{}\left((\Delta\mathord{\smash[b]{\underset{\raise.3ex\hbox{$\scriptstyle\sim$}}{x}}\vphantom{x}}) \cdot \hat{\beta}\right)\mathclose{}
    \\
    &amp;= {\mathopen{}\left(\Delta\mathord{\smash[b]{\underset{\raise.3ex\hbox{$\scriptstyle\sim$}}{x}}\vphantom{x}}\right)\mathclose{}}^{\top}\operatorname{Cov}\mathopen{}\left(\hat{\beta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$$\operatorname{Var}\mathopen{}\left(\widehat{\Delta\eta}\right)\mathclose{}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{\color{orange}{\mathop{\widehat{\operatorname{Var}}}\nolimits\mathopen{}\left(\Delta{\hat\eta}\right)\mathclose{}}}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{\color{teal}{\mathop{\widehat{\operatorname{SE}}}\nolimits\mathopen{}\left(\Delta{\hat\eta}\right)\mathclose{}}}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$\operatorname{Var}\mathopen{}\left(\widehat{\Delta\eta}\right)\mathclose{}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$\mathop{\widehat{\operatorname{SE}}}\nolimits\mathopen{}\left(\Delta\hat\eta\right)\mathclose{}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3,154 × 22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age arcus behpat   bmi chd69  chol   dbp dibpat height    id lnsbp lnwght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&lt;lgl&gt; &lt;fct&gt;  &lt;dbl&gt; &lt;fct&gt; &lt;dbl&gt; &lt;dbl&gt; &lt;fct&gt;   &lt;dbl&gt; &lt;dbl&gt; &lt;dbl&gt;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50 TRUE  A1      31.3 No      249    90 Type A     67  2343  4.88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51 FALSE A1      25.3 No      194    74 Type A     73  3656  4.79   5.26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59 TRUE  A1      28.7 No      258    94 Type A     70  3526  5.06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51 TRUE  A1      22.1 No      173    80 Type A     69 22057  4.84   5.01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44 FALSE A1      22.3 No      214    80 Type A     71 12927  4.84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47 FALSE A1      27.1 No      206    76 Type A     64 16029  4.75   5.06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40 FALSE A1      23.2 No      190    78 Type A     70  3894  4.80   5.09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41 FALSE A1      23.0 No      212    84 Type A     70 11389  4.87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50 TRUE  A1      27.2 No      130    70 Type A     71 12681  4.72   5.27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43 FALSE A1      28.4 No      233    80 Type A     68 10005  4.79   5.23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3,144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10 more variables: ncigs &lt;dbl&gt;, sbp &lt;dbl&gt;, smoke &lt;fct&gt;, 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time169 &lt;dbl&gt;, typchd69 &lt;fct&gt;, uni &lt;dbl&gt;, weight &lt;dbl&gt;, wghtcat &lt;fct&gt;,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agec &lt;fct&gt;</w:t>
                  </w:r>
                </w:p>
                <w:bookmarkEnd w:id="341"/>
              </w:tc>
            </w:tr>
          </w:tbl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tbl-wcgs-dem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Baseline characteristics by CHD status at end of follow-up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"uni"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"t1"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"chd69"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"Missing"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separate_p_footnotes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3,154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2,897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Yes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257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(42.0,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(41.0,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49.0 (44.0, 53.0)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Arcus Senilis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941 (30%)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839 (29%)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102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264 (8.4%)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234 (8.1%)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1,325 (42%)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1,177 (41%)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148 (58%)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1,216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1,155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349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331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 (7.0%)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Body Mass Index (kg/m2)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(22.96,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(22.89,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24.82 (23.63, 26.50)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Total Cholesterol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223 (197, 253)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221 (195, 250)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245 (222, 276)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 (80, 90)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B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1,565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1,486 (51%)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79 (31%)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1,589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1,411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(69%)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Height (inches)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71.00)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(4.79,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(4.77,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4.87 (4.82, 4.97)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Weight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5.14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5.13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5.16 (5.09, 5.22)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Cigarettes per day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 (0, 30)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(120,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(118,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130 (124, 144)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1,502 (48%)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1,343 (46%)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159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Observation (follow up) time (days)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2,942 (2,842, 3,037)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2,952 (2,864, 3,048)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1,666 (934, 2,400)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Type of CHD Event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None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infdeath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(92%)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(100%)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silent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(4.3%)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(53%)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angina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(1.6%)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(20%)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(lbs)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170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169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(162, 185)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Category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&lt; 140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232 (7.4%)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217 (7.5%)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 (5.8%)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140-170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1,538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1,440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98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170-200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1,171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1,049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122 (47%)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&gt; 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213 (6.8%)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191 (6.6%)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 (8.6%)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RECODE of age (Age)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35-40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543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512 (18%)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31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41-45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1,091 (35%)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1,036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55 (21%)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46-50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750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680 (23%)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 (27%)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51-55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528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463 (16%)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65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56-60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242 (7.7%)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206 (7.1%)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(14%)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Wilcoxon rank sum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Pearson's Chi-squared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Fisher's exact test</w:t>
                        </w:r>
                      </w:p>
                    </w:tc>
                  </w:tr>
                </w:tbl>
                <w:bookmarkEnd w:id="344"/>
              </w:tc>
            </w:tr>
          </w:tbl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0" w:name="fig-chd-graph-prob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graph-prob-scale-1.png" id="3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CHD rates by age group, probability scale</w:t>
                  </w:r>
                </w:p>
                <w:bookmarkEnd w:id="350"/>
              </w:tc>
            </w:tr>
          </w:tbl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chd-odds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odds-scale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CHD rates by age group, odds spacing</w:t>
                  </w:r>
                </w:p>
                <w:bookmarkEnd w:id="355"/>
              </w:tc>
            </w:tr>
          </w:tbl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0" w:name="fig-chd_plot_log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_plot_logit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CHD data (logit-scale)</w:t>
                  </w:r>
                </w:p>
                <w:bookmarkEnd w:id="360"/>
              </w:tc>
            </w:tr>
          </w:tbl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7" w:name="fig-fitted-probs-ch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curve_type_A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curve_type_B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chd_plot_probs_2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chd_plot_probs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(chd_plot_probs_2)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1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Fitted CHD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</w:t>
                    </w:r>
                  </w:hyperlink>
                  <w:r>
                    <w:t xml:space="preserve"> </w:t>
                  </w:r>
                  <w:r>
                    <w:t xml:space="preserve">by age and behavior pattern (probability scale)</w:t>
                  </w:r>
                </w:p>
                <w:bookmarkEnd w:id="367"/>
              </w:tc>
            </w:tr>
          </w:tbl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fig-fitted-odds-chd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chd_plot_odds_2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chd_plot_odds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(chd_plot_odds_2)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2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Fitted CHD</w:t>
                  </w:r>
                  <w:r>
                    <w:t xml:space="preserve"> </w:t>
                  </w:r>
                  <w:hyperlink r:id="rId29">
                    <w:r>
                      <w:rPr>
                        <w:rStyle w:val="Hyperlink"/>
                      </w:rPr>
                      <w:t xml:space="preserve">odds</w:t>
                    </w:r>
                  </w:hyperlink>
                  <w:r>
                    <w:t xml:space="preserve"> </w:t>
                  </w:r>
                  <w:r>
                    <w:t xml:space="preserve">by age and behavior pattern (odds scale)</w:t>
                  </w:r>
                </w:p>
                <w:bookmarkEnd w:id="372"/>
              </w:tc>
            </w:tr>
          </w:tbl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7" w:name="fig-fitted-log-odds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chd_plot_logit_2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chd_plot_logit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(chd_plot_logit_2)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3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Fitted CHD</w:t>
                  </w:r>
                  <w:r>
                    <w:t xml:space="preserve"> </w:t>
                  </w:r>
                  <w:hyperlink r:id="rId120">
                    <w:r>
                      <w:rPr>
                        <w:rStyle w:val="Hyperlink"/>
                      </w:rPr>
                      <w:t xml:space="preserve">log-odds</w:t>
                    </w:r>
                  </w:hyperlink>
                  <w:r>
                    <w:t xml:space="preserve"> </w:t>
                  </w:r>
                  <w:r>
                    <w:t xml:space="preserve">by age and behavior pattern (log-odds scale)</w:t>
                  </w:r>
                </w:p>
                <w:bookmarkEnd w:id="377"/>
              </w:tc>
            </w:tr>
          </w:tbl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tbl-model-corner-poin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CHD model (corner-point parametrization)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5"/>
                <w:p/>
              </w:tc>
            </w:tr>
          </w:tbl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tbl-chd-glm-contra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(0.13, 13.88)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(0.96, 1.06)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6"/>
                <w:p/>
              </w:tc>
            </w:tr>
          </w:tbl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chd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CHD model, stratified parametrization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(-6.83, -4.19)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9" w:name="tbl-chd-glm-strat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4.09e-03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2.75e-03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(1.08e-03,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9"/>
                <w:p/>
              </w:tc>
            </w:tr>
          </w:tbl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(Interpreting the deviance test)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5" w:name="fig-resid-dx-wcgs-ungroup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resid-dx-wcgs-ungroupe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Residual diagnostics for WCGS model with individual-level observations</w:t>
                  </w:r>
                </w:p>
                <w:bookmarkEnd w:id="455"/>
              </w:tc>
            </w:tr>
          </w:tbl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6" w:name="tbl-chd-model-wcgs-grouped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21: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456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wcgs-model-grouped-dat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model-grouped-data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60"/>
              </w:tc>
            </w:tr>
          </w:tbl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71" w:name="fig-wcgs-resid-manual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46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wcgs-resid-manual-1.png" id="47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residuals plot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wcgs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</w:p>
                      <w:bookmarkEnd w:id="47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weighted hat matrix as the GLM analog of the linear-model hat matrix)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(Standardized Pearson residuals in R diagnostic plots)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  <w:p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(Relation to Cook’s distance for linear models)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9" w:name="fig-chd-model-diagnostic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chd-model-diagnostics-1.png" id="5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Diagnostics for CHD model</w:t>
                        </w:r>
                      </w:p>
                      <w:bookmarkEnd w:id="5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4" w:name="fig-beetles-glm-diag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beetles-glm-diag-1.png" id="5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Diagnostics for logistic model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BeetleMortality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1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potential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marginal-rd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22:</w:t>
                        </w:r>
                        <w:r>
                          <w:t xml:space="preserve"> </w:t>
                        </w:r>
                        <w:hyperlink w:anchor="def-causal-marginal-rd">
                          <w:r>
                            <w:rPr>
                              <w:rStyle w:val="Hyperlink"/>
                            </w:rPr>
                            <w:t xml:space="preserve">Causal marginal risk difference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(CMRD) for Type A vs Type B behavioral pattern</w:t>
                        </w:r>
                        <w:r>
                          <w:t xml:space="preserve"> </w:t>
                        </w:r>
                        <w:r>
                          <w:t xml:space="preserve">(adjusted for age) via g-computation,</w:t>
                        </w:r>
                        <w:r>
                          <w:t xml:space="preserve"> </w:t>
                        </w:r>
                        <w:r>
                          <w:t xml:space="preserve">with</w:t>
                        </w:r>
                        <w:r>
                          <w:t xml:space="preserve"> </w:t>
                        </w:r>
                        <w:hyperlink r:id="rId601">
                          <w:r>
                            <w:rPr>
                              <w:rStyle w:val="Hyperlink"/>
                            </w:rPr>
                            <w:t xml:space="preserve">bootstrap standard error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 95% confidence interval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Estimate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Std. Error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boot_se,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Lower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Upper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ci_upper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digits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980"/>
                          <w:gridCol w:w="1980"/>
                          <w:gridCol w:w="1980"/>
                          <w:gridCol w:w="198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Estimate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Std. Error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Lower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Upper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0.0562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0.0096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0.037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0.0732</w:t>
                              </w:r>
                            </w:p>
                          </w:tc>
                        </w:tr>
                      </w:tbl>
                      <w:bookmarkEnd w:id="602"/>
                      <w:p/>
                    </w:tc>
                  </w:tr>
                </w:tbl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8" w:name="fig-bootstrap-dist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boot_rd =</w:t>
                        </w:r>
                        <w:r>
                          <w:rPr>
                            <w:rStyle w:val="NormalTok"/>
                          </w:rPr>
                          <w:t xml:space="preserve"> boot_estimates)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boot_rd)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geom_histogram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bins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ci_upper,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Marginal Risk Difference"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"Frequency"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title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Distribution of Causal Marginal Risk Difference"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5334000" cy="3048000"/>
                              <wp:effectExtent b="0" l="0" r="0" t="0"/>
                              <wp:docPr descr="" title="" id="60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3-1.png" id="60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304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Bootstrap distribution of the marginal risk difference</w:t>
                        </w:r>
                        <w:r>
                          <w:t xml:space="preserve"> </w:t>
                        </w:r>
                        <w:r>
                          <w:t xml:space="preserve">(Type A vs Type B behavioral pattern, adjusted for age).</w:t>
                        </w:r>
                        <w:r>
                          <w:t xml:space="preserve"> </w:t>
                        </w:r>
                        <w:r>
                          <w:t xml:space="preserve">Red dashed line: point estimate.</w:t>
                        </w:r>
                        <w:r>
                          <w:t xml:space="preserve"> </w:t>
                        </w:r>
                        <w:r>
                          <w:t xml:space="preserve">Green dotted lines: 95% CI bounds.</w:t>
                        </w:r>
                      </w:p>
                      <w:bookmarkEnd w:id="608"/>
                    </w:tc>
                  </w:tr>
                </w:tbl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8" w:name="fig-anthers-fitted-scal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anthers_fitted_grid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storage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(anthers_glm_logit,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"Link function"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anthers_observed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anthers_sum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proportion =</w:t>
                  </w:r>
                  <w:r>
                    <w:rPr>
                      <w:rStyle w:val="NormalTok"/>
                    </w:rPr>
                    <w:t xml:space="preserve"> y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anthers_fitted_grid,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fitted,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Link function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anthers_observed,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proportion),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"Storage condition"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 probability of germination"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7-1.png" id="6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Fitted germination probabilities from the log-link and logit-link models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anthers</w:t>
                  </w:r>
                  <w:r>
                    <w:t xml:space="preserve"> </w:t>
                  </w:r>
                  <w:r>
                    <w:t xml:space="preserve">data,</w:t>
                  </w:r>
                  <w:r>
                    <w:t xml:space="preserve"> </w:t>
                  </w:r>
                  <w:r>
                    <w:t xml:space="preserve">with the observed proportions as points.</w:t>
                  </w:r>
                  <w:r>
                    <w:t xml:space="preserve"> </w:t>
                  </w:r>
                  <w:r>
                    <w:t xml:space="preserve">The two link functions nearly coincide here because the model is saturated</w:t>
                  </w:r>
                  <w:r>
                    <w:t xml:space="preserve"> </w:t>
                  </w:r>
                  <w:r>
                    <w:t xml:space="preserve">(two parameters fit to two storage conditions),</w:t>
                  </w:r>
                  <w:r>
                    <w:t xml:space="preserve"> </w:t>
                  </w:r>
                  <w:r>
                    <w:t xml:space="preserve">so both reproduce the observed proportions at the data points</w:t>
                  </w:r>
                  <w:r>
                    <w:t xml:space="preserve"> </w:t>
                  </w:r>
                  <w:r>
                    <w:t xml:space="preserve">and differ only slightly in between.</w:t>
                  </w:r>
                </w:p>
                <w:bookmarkEnd w:id="638"/>
              </w:tc>
            </w:tr>
          </w:tbl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fig-diagnostics-glm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2" w:name="fig-diagnostics-glm1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wcgs_glm_logit_link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9-1.png" id="64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4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6" w:name="fig-diagnostics-glm1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wcgs_glm_identity_link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0-1.png" id="64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4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models</w:t>
            </w:r>
          </w:p>
          <w:bookmarkEnd w:id="6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6" w:name="fig-diagnostics-beetl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1" w:name="fig-diagnostics-beetles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beetles_long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cbind</w:t>
                        </w:r>
                        <w:r>
                          <w:rPr>
                            <w:rStyle w:val="NormalTok"/>
                          </w:rPr>
                          <w:t xml:space="preserve">(died, survived)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dose, </w:t>
                        </w:r>
                        <w:r>
                          <w:rPr>
                            <w:rStyle w:val="AttributeTok"/>
                          </w:rPr>
                          <w:t xml:space="preserve">family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"binomial"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resid_logit =</w:t>
                        </w:r>
                        <w:r>
                          <w:rPr>
                            <w:rStyle w:val="NormalTok"/>
                          </w:rPr>
                          <w:t xml:space="preserve"> 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resid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1-1.png" id="6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5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5" w:name="fig-diagnostics-beetles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2-1.png" id="6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20: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BeetleMortality</w:t>
            </w:r>
            <w:r>
              <w:t xml:space="preserve"> </w:t>
            </w:r>
            <w:r>
              <w:t xml:space="preserve">models</w:t>
            </w:r>
          </w:p>
          <w:bookmarkEnd w:id="656"/>
        </w:tc>
      </w:tr>
    </w:tbl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6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Diagram of</w:t>
                  </w:r>
                  <w:r>
                    <w:t xml:space="preserve"> </w:t>
                  </w:r>
                  <w:hyperlink r:id="rId361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52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686"/>
              </w:tc>
            </w:tr>
          </w:tbl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2026-10-21T21:25:18Z</dcterms:created>
  <dcterms:modified xsi:type="dcterms:W3CDTF">2026-10-21T21:25:18Z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