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" w:name="tbl-km-n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Kaplan-Meier and Nelson-Aalen calculations for the Part 1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KM_est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surv_data)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KM_est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data.frame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      =</w:t>
                  </w:r>
                  <w:r>
                    <w:rPr>
                      <w:rStyle w:val="NormalTok"/>
                    </w:rPr>
                    <w:t xml:space="preserve"> n.event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n.risk,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nonhazard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surv_KM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(nonhazard),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surv_NA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(time, n.risk, n.event, hazard, surv_KM, cusum_hazard, surv_NA)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86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770"/>
                    <w:gridCol w:w="990"/>
                    <w:gridCol w:w="1100"/>
                    <w:gridCol w:w="990"/>
                    <w:gridCol w:w="1100"/>
                    <w:gridCol w:w="1650"/>
                    <w:gridCol w:w="110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surv_KM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cusum_hazard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surv_NA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0.8669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0.3333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0.1173</w:t>
                        </w:r>
                      </w:p>
                    </w:tc>
                  </w:tr>
                </w:tbl>
                <w:bookmarkEnd w:id="18"/>
                <w:p/>
              </w:tc>
            </w:tr>
          </w:tbl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Cox PH regression for the WCGS CHD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78"/>
                    <w:gridCol w:w="2178"/>
                    <w:gridCol w:w="1584"/>
                    <w:gridCol w:w="1485"/>
                    <w:gridCol w:w="49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Characteristic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 for 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p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nonsmoker (ref.)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light smoker (</w:t>
                        </w:r>
                        <m:oMath>
                          <m:r>
                            <m:t>L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heavy smoker (</w:t>
                        </w:r>
                        <m:oMath>
                          <m:r>
                            <m:t>H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(1.63, 2.91)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per decade (</w:t>
                        </w:r>
                        <m:oMath>
                          <m:r>
                            <m:t>A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(1.56, 2.40)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behavior type A (</w:t>
                        </w:r>
                        <m:oMath>
                          <m:r>
                            <m:t>P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(1.58, 2.70)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overweight (</w:t>
                        </w:r>
                        <m:oMath>
                          <m:r>
                            <m:t>B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 cholesterol (</w:t>
                        </w:r>
                        <m:oMath>
                          <m:r>
                            <m:t>C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(1.65, 2.71)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</w:tbl>
                <w:bookmarkEnd w:id="43"/>
                <w:p/>
              </w:tc>
            </w:tr>
          </w:tbl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2026-10-30T01:45:59Z</dcterms:created>
  <dcterms:modified xsi:type="dcterms:W3CDTF">2026-10-30T01:45:59Z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